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CF30E" w14:textId="77777777" w:rsidR="004C32A9" w:rsidRDefault="004C32A9"/>
    <w:p w14:paraId="41B54444" w14:textId="77777777" w:rsidR="001030EA" w:rsidRDefault="001030EA"/>
    <w:p w14:paraId="6208B8FF" w14:textId="77777777" w:rsidR="0096127F" w:rsidRDefault="0096127F"/>
    <w:p w14:paraId="03ADF5BE" w14:textId="77777777" w:rsidR="00E45FAA" w:rsidRDefault="00E45FAA"/>
    <w:p w14:paraId="43B92B1A" w14:textId="77777777" w:rsidR="00E45FAA" w:rsidRDefault="00E45FAA"/>
    <w:p w14:paraId="31B75D50" w14:textId="77777777" w:rsidR="00E45FAA" w:rsidRDefault="00E45FAA"/>
    <w:p w14:paraId="628389DF" w14:textId="77777777" w:rsidR="00E45FAA" w:rsidRDefault="00E45FAA">
      <w:r>
        <w:rPr>
          <w:noProof/>
          <w:lang w:eastAsia="en-GB"/>
        </w:rPr>
        <mc:AlternateContent>
          <mc:Choice Requires="wps">
            <w:drawing>
              <wp:anchor distT="0" distB="0" distL="114300" distR="114300" simplePos="0" relativeHeight="251659264" behindDoc="0" locked="0" layoutInCell="1" allowOverlap="1" wp14:anchorId="7CE9A1A7" wp14:editId="763BD408">
                <wp:simplePos x="0" y="0"/>
                <wp:positionH relativeFrom="margin">
                  <wp:posOffset>-95250</wp:posOffset>
                </wp:positionH>
                <wp:positionV relativeFrom="paragraph">
                  <wp:posOffset>269240</wp:posOffset>
                </wp:positionV>
                <wp:extent cx="6527800" cy="243205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2432050"/>
                        </a:xfrm>
                        <a:prstGeom prst="rect">
                          <a:avLst/>
                        </a:prstGeom>
                        <a:noFill/>
                        <a:ln w="9525">
                          <a:noFill/>
                          <a:miter lim="800000"/>
                          <a:headEnd/>
                          <a:tailEnd/>
                        </a:ln>
                      </wps:spPr>
                      <wps:txbx>
                        <w:txbxContent>
                          <w:p w14:paraId="6B178D42" w14:textId="77777777" w:rsidR="001B61EA" w:rsidRDefault="009B759F">
                            <w:pPr>
                              <w:rPr>
                                <w:rFonts w:ascii="Trebuchet MS" w:hAnsi="Trebuchet MS"/>
                                <w:b/>
                                <w:color w:val="2D0054"/>
                                <w:sz w:val="72"/>
                                <w:szCs w:val="72"/>
                              </w:rPr>
                            </w:pPr>
                            <w:r>
                              <w:rPr>
                                <w:rFonts w:ascii="Trebuchet MS" w:hAnsi="Trebuchet MS"/>
                                <w:b/>
                                <w:color w:val="2D0054"/>
                                <w:sz w:val="72"/>
                                <w:szCs w:val="72"/>
                              </w:rPr>
                              <w:t xml:space="preserve">Climate and </w:t>
                            </w:r>
                            <w:r w:rsidR="00B6467C">
                              <w:rPr>
                                <w:rFonts w:ascii="Trebuchet MS" w:hAnsi="Trebuchet MS"/>
                                <w:b/>
                                <w:color w:val="2D0054"/>
                                <w:sz w:val="72"/>
                                <w:szCs w:val="72"/>
                              </w:rPr>
                              <w:t xml:space="preserve">Environment Action </w:t>
                            </w:r>
                            <w:r w:rsidR="001B61EA">
                              <w:rPr>
                                <w:rFonts w:ascii="Trebuchet MS" w:hAnsi="Trebuchet MS"/>
                                <w:b/>
                                <w:color w:val="2D0054"/>
                                <w:sz w:val="72"/>
                                <w:szCs w:val="72"/>
                              </w:rPr>
                              <w:t xml:space="preserve">Progress Report </w:t>
                            </w:r>
                            <w:r w:rsidR="00197F55">
                              <w:rPr>
                                <w:rFonts w:ascii="Trebuchet MS" w:hAnsi="Trebuchet MS"/>
                                <w:b/>
                                <w:color w:val="2D0054"/>
                                <w:sz w:val="72"/>
                                <w:szCs w:val="72"/>
                              </w:rPr>
                              <w:t>2022.</w:t>
                            </w:r>
                          </w:p>
                          <w:p w14:paraId="52522EA4" w14:textId="736A0700" w:rsidR="00E45FAA" w:rsidRPr="001B61EA" w:rsidRDefault="001B61EA" w:rsidP="001B61EA">
                            <w:pPr>
                              <w:jc w:val="center"/>
                              <w:rPr>
                                <w:rFonts w:ascii="Trebuchet MS" w:hAnsi="Trebuchet MS"/>
                                <w:b/>
                                <w:color w:val="2D0054"/>
                                <w:sz w:val="40"/>
                                <w:szCs w:val="40"/>
                              </w:rPr>
                            </w:pPr>
                            <w:r>
                              <w:rPr>
                                <w:rFonts w:ascii="Trebuchet MS" w:hAnsi="Trebuchet MS"/>
                                <w:b/>
                                <w:color w:val="2D0054"/>
                                <w:sz w:val="40"/>
                                <w:szCs w:val="40"/>
                              </w:rPr>
                              <w:t>(</w:t>
                            </w:r>
                            <w:r w:rsidR="00D91C0B">
                              <w:rPr>
                                <w:rFonts w:ascii="Trebuchet MS" w:hAnsi="Trebuchet MS"/>
                                <w:b/>
                                <w:color w:val="2D0054"/>
                                <w:sz w:val="40"/>
                                <w:szCs w:val="40"/>
                              </w:rPr>
                              <w:t xml:space="preserve">Abridged for </w:t>
                            </w:r>
                            <w:r>
                              <w:rPr>
                                <w:rFonts w:ascii="Trebuchet MS" w:hAnsi="Trebuchet MS"/>
                                <w:b/>
                                <w:color w:val="2D0054"/>
                                <w:sz w:val="40"/>
                                <w:szCs w:val="40"/>
                              </w:rPr>
                              <w:t>SDDC Website)</w:t>
                            </w:r>
                          </w:p>
                          <w:p w14:paraId="35D43447" w14:textId="77777777" w:rsidR="00AC457D" w:rsidRPr="00E45FAA" w:rsidRDefault="00AC457D">
                            <w:pPr>
                              <w:rPr>
                                <w:rFonts w:ascii="Trebuchet MS" w:hAnsi="Trebuchet MS"/>
                                <w:b/>
                                <w:color w:val="2D0054"/>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E9A1A7" id="_x0000_t202" coordsize="21600,21600" o:spt="202" path="m,l,21600r21600,l21600,xe">
                <v:stroke joinstyle="miter"/>
                <v:path gradientshapeok="t" o:connecttype="rect"/>
              </v:shapetype>
              <v:shape id="Text Box 2" o:spid="_x0000_s1026" type="#_x0000_t202" style="position:absolute;margin-left:-7.5pt;margin-top:21.2pt;width:514pt;height:19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" filled="f" stroked="f">
                <v:textbox>
                  <w:txbxContent>
                    <w:p w14:paraId="6B178D42" w14:textId="77777777" w:rsidR="001B61EA" w:rsidRDefault="009B759F">
                      <w:pPr>
                        <w:rPr>
                          <w:rFonts w:ascii="Trebuchet MS" w:hAnsi="Trebuchet MS"/>
                          <w:b/>
                          <w:color w:val="2D0054"/>
                          <w:sz w:val="72"/>
                          <w:szCs w:val="72"/>
                        </w:rPr>
                      </w:pPr>
                      <w:r>
                        <w:rPr>
                          <w:rFonts w:ascii="Trebuchet MS" w:hAnsi="Trebuchet MS"/>
                          <w:b/>
                          <w:color w:val="2D0054"/>
                          <w:sz w:val="72"/>
                          <w:szCs w:val="72"/>
                        </w:rPr>
                        <w:t xml:space="preserve">Climate and </w:t>
                      </w:r>
                      <w:r w:rsidR="00B6467C">
                        <w:rPr>
                          <w:rFonts w:ascii="Trebuchet MS" w:hAnsi="Trebuchet MS"/>
                          <w:b/>
                          <w:color w:val="2D0054"/>
                          <w:sz w:val="72"/>
                          <w:szCs w:val="72"/>
                        </w:rPr>
                        <w:t xml:space="preserve">Environment Action </w:t>
                      </w:r>
                      <w:r w:rsidR="001B61EA">
                        <w:rPr>
                          <w:rFonts w:ascii="Trebuchet MS" w:hAnsi="Trebuchet MS"/>
                          <w:b/>
                          <w:color w:val="2D0054"/>
                          <w:sz w:val="72"/>
                          <w:szCs w:val="72"/>
                        </w:rPr>
                        <w:t xml:space="preserve">Progress Report </w:t>
                      </w:r>
                      <w:r w:rsidR="00197F55">
                        <w:rPr>
                          <w:rFonts w:ascii="Trebuchet MS" w:hAnsi="Trebuchet MS"/>
                          <w:b/>
                          <w:color w:val="2D0054"/>
                          <w:sz w:val="72"/>
                          <w:szCs w:val="72"/>
                        </w:rPr>
                        <w:t>2022.</w:t>
                      </w:r>
                    </w:p>
                    <w:p w14:paraId="52522EA4" w14:textId="736A0700" w:rsidR="00E45FAA" w:rsidRPr="001B61EA" w:rsidRDefault="001B61EA" w:rsidP="001B61EA">
                      <w:pPr>
                        <w:jc w:val="center"/>
                        <w:rPr>
                          <w:rFonts w:ascii="Trebuchet MS" w:hAnsi="Trebuchet MS"/>
                          <w:b/>
                          <w:color w:val="2D0054"/>
                          <w:sz w:val="40"/>
                          <w:szCs w:val="40"/>
                        </w:rPr>
                      </w:pPr>
                      <w:r>
                        <w:rPr>
                          <w:rFonts w:ascii="Trebuchet MS" w:hAnsi="Trebuchet MS"/>
                          <w:b/>
                          <w:color w:val="2D0054"/>
                          <w:sz w:val="40"/>
                          <w:szCs w:val="40"/>
                        </w:rPr>
                        <w:t>(</w:t>
                      </w:r>
                      <w:r w:rsidR="00D91C0B">
                        <w:rPr>
                          <w:rFonts w:ascii="Trebuchet MS" w:hAnsi="Trebuchet MS"/>
                          <w:b/>
                          <w:color w:val="2D0054"/>
                          <w:sz w:val="40"/>
                          <w:szCs w:val="40"/>
                        </w:rPr>
                        <w:t xml:space="preserve">Abridged for </w:t>
                      </w:r>
                      <w:r>
                        <w:rPr>
                          <w:rFonts w:ascii="Trebuchet MS" w:hAnsi="Trebuchet MS"/>
                          <w:b/>
                          <w:color w:val="2D0054"/>
                          <w:sz w:val="40"/>
                          <w:szCs w:val="40"/>
                        </w:rPr>
                        <w:t>SDDC Website)</w:t>
                      </w:r>
                    </w:p>
                    <w:p w14:paraId="35D43447" w14:textId="77777777" w:rsidR="00AC457D" w:rsidRPr="00E45FAA" w:rsidRDefault="00AC457D">
                      <w:pPr>
                        <w:rPr>
                          <w:rFonts w:ascii="Trebuchet MS" w:hAnsi="Trebuchet MS"/>
                          <w:b/>
                          <w:color w:val="2D0054"/>
                          <w:sz w:val="72"/>
                          <w:szCs w:val="72"/>
                        </w:rPr>
                      </w:pPr>
                    </w:p>
                  </w:txbxContent>
                </v:textbox>
                <w10:wrap anchorx="margin"/>
              </v:shape>
            </w:pict>
          </mc:Fallback>
        </mc:AlternateContent>
      </w:r>
    </w:p>
    <w:p w14:paraId="6B4D189C" w14:textId="77777777" w:rsidR="00E45FAA" w:rsidRDefault="00E45FAA"/>
    <w:p w14:paraId="07B60865" w14:textId="77777777" w:rsidR="00E45FAA" w:rsidRDefault="00E45FAA"/>
    <w:p w14:paraId="6D6CB792" w14:textId="77777777" w:rsidR="00E45FAA" w:rsidRDefault="00E45FAA"/>
    <w:p w14:paraId="7ECB54AC" w14:textId="77777777" w:rsidR="00E45FAA" w:rsidRDefault="00E45FAA"/>
    <w:p w14:paraId="597C3568" w14:textId="77777777" w:rsidR="00E45FAA" w:rsidRDefault="00E45FAA"/>
    <w:p w14:paraId="0D19B86B" w14:textId="77777777" w:rsidR="00E45FAA" w:rsidRDefault="00E45FAA"/>
    <w:p w14:paraId="2EC487FC" w14:textId="77777777" w:rsidR="00E45FAA" w:rsidRDefault="00E45FAA"/>
    <w:p w14:paraId="44A1A158" w14:textId="77777777" w:rsidR="00E45FAA" w:rsidRDefault="00E45FAA"/>
    <w:p w14:paraId="07B77BCC" w14:textId="77777777" w:rsidR="00E45FAA" w:rsidRDefault="00E45FAA"/>
    <w:p w14:paraId="2514F7E2" w14:textId="77777777" w:rsidR="00E45FAA" w:rsidRDefault="00E45FAA"/>
    <w:p w14:paraId="30766A7A" w14:textId="77777777" w:rsidR="00E45FAA" w:rsidRDefault="00E45FAA"/>
    <w:p w14:paraId="49DF87D6" w14:textId="77777777" w:rsidR="00E45FAA" w:rsidRDefault="00E45FAA"/>
    <w:p w14:paraId="1F6AFB74" w14:textId="77777777" w:rsidR="00E45FAA" w:rsidRDefault="00E45FAA"/>
    <w:p w14:paraId="663D5B64" w14:textId="77777777" w:rsidR="00E45FAA" w:rsidRDefault="00E45FAA"/>
    <w:p w14:paraId="5AE80BC1" w14:textId="77777777" w:rsidR="00E45FAA" w:rsidRDefault="00E45FAA"/>
    <w:p w14:paraId="1317D1B1" w14:textId="77777777" w:rsidR="00E45FAA" w:rsidRDefault="00E45FAA"/>
    <w:p w14:paraId="13D44055" w14:textId="77777777" w:rsidR="00E45FAA" w:rsidRDefault="00537870">
      <w:r>
        <w:rPr>
          <w:noProof/>
          <w:lang w:eastAsia="en-GB"/>
        </w:rPr>
        <mc:AlternateContent>
          <mc:Choice Requires="wps">
            <w:drawing>
              <wp:anchor distT="0" distB="0" distL="114300" distR="114300" simplePos="0" relativeHeight="251661312" behindDoc="0" locked="0" layoutInCell="1" allowOverlap="1" wp14:anchorId="487A1300" wp14:editId="0E37CA0F">
                <wp:simplePos x="0" y="0"/>
                <wp:positionH relativeFrom="margin">
                  <wp:align>center</wp:align>
                </wp:positionH>
                <wp:positionV relativeFrom="paragraph">
                  <wp:posOffset>316865</wp:posOffset>
                </wp:positionV>
                <wp:extent cx="6438900" cy="16287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628775"/>
                        </a:xfrm>
                        <a:prstGeom prst="rect">
                          <a:avLst/>
                        </a:prstGeom>
                        <a:noFill/>
                        <a:ln w="9525">
                          <a:noFill/>
                          <a:miter lim="800000"/>
                          <a:headEnd/>
                          <a:tailEnd/>
                        </a:ln>
                      </wps:spPr>
                      <wps:txbx>
                        <w:txbxContent>
                          <w:p w14:paraId="3A410250" w14:textId="14E4CB63" w:rsidR="00E45FAA" w:rsidRPr="00B6467C" w:rsidRDefault="00AD4677" w:rsidP="00E45FAA">
                            <w:pPr>
                              <w:rPr>
                                <w:rFonts w:ascii="Trebuchet MS" w:hAnsi="Trebuchet MS"/>
                                <w:bCs/>
                                <w:color w:val="2D0054"/>
                                <w:sz w:val="40"/>
                                <w:szCs w:val="72"/>
                              </w:rPr>
                            </w:pPr>
                            <w:r>
                              <w:rPr>
                                <w:rFonts w:ascii="Trebuchet MS" w:hAnsi="Trebuchet MS"/>
                                <w:b/>
                                <w:color w:val="2D0054"/>
                                <w:sz w:val="40"/>
                                <w:szCs w:val="72"/>
                              </w:rPr>
                              <w:t>Project:</w:t>
                            </w:r>
                            <w:r w:rsidRPr="00AD4677">
                              <w:rPr>
                                <w:rFonts w:ascii="Trebuchet MS" w:hAnsi="Trebuchet MS"/>
                                <w:b/>
                                <w:color w:val="2D0054"/>
                                <w:sz w:val="40"/>
                                <w:szCs w:val="72"/>
                              </w:rPr>
                              <w:t xml:space="preserve"> </w:t>
                            </w:r>
                            <w:r w:rsidR="00B6467C">
                              <w:rPr>
                                <w:rFonts w:ascii="Trebuchet MS" w:hAnsi="Trebuchet MS"/>
                                <w:color w:val="2D0054"/>
                                <w:sz w:val="40"/>
                                <w:szCs w:val="72"/>
                              </w:rPr>
                              <w:t xml:space="preserve">Climate and Environment </w:t>
                            </w:r>
                            <w:r w:rsidR="00B6467C">
                              <w:rPr>
                                <w:rFonts w:ascii="Trebuchet MS" w:hAnsi="Trebuchet MS"/>
                                <w:bCs/>
                                <w:color w:val="2D0054"/>
                                <w:sz w:val="40"/>
                                <w:szCs w:val="72"/>
                              </w:rPr>
                              <w:t>Action Plan</w:t>
                            </w:r>
                          </w:p>
                          <w:p w14:paraId="6B029013" w14:textId="2CB6779C" w:rsidR="00E45FAA" w:rsidRPr="00E45FAA" w:rsidRDefault="00E45FAA" w:rsidP="00E45FAA">
                            <w:pPr>
                              <w:rPr>
                                <w:rFonts w:ascii="Trebuchet MS" w:hAnsi="Trebuchet MS"/>
                                <w:b/>
                                <w:color w:val="2D0054"/>
                                <w:sz w:val="40"/>
                                <w:szCs w:val="72"/>
                              </w:rPr>
                            </w:pPr>
                            <w:r>
                              <w:rPr>
                                <w:rFonts w:ascii="Trebuchet MS" w:hAnsi="Trebuchet MS"/>
                                <w:b/>
                                <w:color w:val="2D0054"/>
                                <w:sz w:val="40"/>
                                <w:szCs w:val="72"/>
                              </w:rPr>
                              <w:t>Date</w:t>
                            </w:r>
                            <w:r w:rsidR="00AC457D">
                              <w:rPr>
                                <w:rFonts w:ascii="Trebuchet MS" w:hAnsi="Trebuchet MS"/>
                                <w:b/>
                                <w:color w:val="2D0054"/>
                                <w:sz w:val="40"/>
                                <w:szCs w:val="72"/>
                              </w:rPr>
                              <w:t>:</w:t>
                            </w:r>
                            <w:r w:rsidR="00AD4677">
                              <w:rPr>
                                <w:rFonts w:ascii="Trebuchet MS" w:hAnsi="Trebuchet MS"/>
                                <w:b/>
                                <w:color w:val="2D0054"/>
                                <w:sz w:val="40"/>
                                <w:szCs w:val="72"/>
                              </w:rPr>
                              <w:t xml:space="preserve"> </w:t>
                            </w:r>
                            <w:r w:rsidR="00B6467C">
                              <w:rPr>
                                <w:rFonts w:ascii="Trebuchet MS" w:hAnsi="Trebuchet MS"/>
                                <w:color w:val="2D0054"/>
                                <w:sz w:val="40"/>
                                <w:szCs w:val="72"/>
                              </w:rPr>
                              <w:t>Ju</w:t>
                            </w:r>
                            <w:r w:rsidR="009879CA">
                              <w:rPr>
                                <w:rFonts w:ascii="Trebuchet MS" w:hAnsi="Trebuchet MS"/>
                                <w:color w:val="2D0054"/>
                                <w:sz w:val="40"/>
                                <w:szCs w:val="72"/>
                              </w:rPr>
                              <w:t>ly</w:t>
                            </w:r>
                            <w:r w:rsidR="00B6467C">
                              <w:rPr>
                                <w:rFonts w:ascii="Trebuchet MS" w:hAnsi="Trebuchet MS"/>
                                <w:color w:val="2D0054"/>
                                <w:sz w:val="40"/>
                                <w:szCs w:val="72"/>
                              </w:rPr>
                              <w:t xml:space="preserv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A1300" id="_x0000_s1027" type="#_x0000_t202" style="position:absolute;margin-left:0;margin-top:24.95pt;width:507pt;height:128.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" filled="f" stroked="f">
                <v:textbox>
                  <w:txbxContent>
                    <w:p w14:paraId="3A410250" w14:textId="14E4CB63" w:rsidR="00E45FAA" w:rsidRPr="00B6467C" w:rsidRDefault="00AD4677" w:rsidP="00E45FAA">
                      <w:pPr>
                        <w:rPr>
                          <w:rFonts w:ascii="Trebuchet MS" w:hAnsi="Trebuchet MS"/>
                          <w:bCs/>
                          <w:color w:val="2D0054"/>
                          <w:sz w:val="40"/>
                          <w:szCs w:val="72"/>
                        </w:rPr>
                      </w:pPr>
                      <w:r>
                        <w:rPr>
                          <w:rFonts w:ascii="Trebuchet MS" w:hAnsi="Trebuchet MS"/>
                          <w:b/>
                          <w:color w:val="2D0054"/>
                          <w:sz w:val="40"/>
                          <w:szCs w:val="72"/>
                        </w:rPr>
                        <w:t>Project:</w:t>
                      </w:r>
                      <w:r w:rsidRPr="00AD4677">
                        <w:rPr>
                          <w:rFonts w:ascii="Trebuchet MS" w:hAnsi="Trebuchet MS"/>
                          <w:b/>
                          <w:color w:val="2D0054"/>
                          <w:sz w:val="40"/>
                          <w:szCs w:val="72"/>
                        </w:rPr>
                        <w:t xml:space="preserve"> </w:t>
                      </w:r>
                      <w:r w:rsidR="00B6467C">
                        <w:rPr>
                          <w:rFonts w:ascii="Trebuchet MS" w:hAnsi="Trebuchet MS"/>
                          <w:color w:val="2D0054"/>
                          <w:sz w:val="40"/>
                          <w:szCs w:val="72"/>
                        </w:rPr>
                        <w:t xml:space="preserve">Climate and Environment </w:t>
                      </w:r>
                      <w:r w:rsidR="00B6467C">
                        <w:rPr>
                          <w:rFonts w:ascii="Trebuchet MS" w:hAnsi="Trebuchet MS"/>
                          <w:bCs/>
                          <w:color w:val="2D0054"/>
                          <w:sz w:val="40"/>
                          <w:szCs w:val="72"/>
                        </w:rPr>
                        <w:t>Action Plan</w:t>
                      </w:r>
                    </w:p>
                    <w:p w14:paraId="6B029013" w14:textId="2CB6779C" w:rsidR="00E45FAA" w:rsidRPr="00E45FAA" w:rsidRDefault="00E45FAA" w:rsidP="00E45FAA">
                      <w:pPr>
                        <w:rPr>
                          <w:rFonts w:ascii="Trebuchet MS" w:hAnsi="Trebuchet MS"/>
                          <w:b/>
                          <w:color w:val="2D0054"/>
                          <w:sz w:val="40"/>
                          <w:szCs w:val="72"/>
                        </w:rPr>
                      </w:pPr>
                      <w:r>
                        <w:rPr>
                          <w:rFonts w:ascii="Trebuchet MS" w:hAnsi="Trebuchet MS"/>
                          <w:b/>
                          <w:color w:val="2D0054"/>
                          <w:sz w:val="40"/>
                          <w:szCs w:val="72"/>
                        </w:rPr>
                        <w:t>Date</w:t>
                      </w:r>
                      <w:r w:rsidR="00AC457D">
                        <w:rPr>
                          <w:rFonts w:ascii="Trebuchet MS" w:hAnsi="Trebuchet MS"/>
                          <w:b/>
                          <w:color w:val="2D0054"/>
                          <w:sz w:val="40"/>
                          <w:szCs w:val="72"/>
                        </w:rPr>
                        <w:t>:</w:t>
                      </w:r>
                      <w:r w:rsidR="00AD4677">
                        <w:rPr>
                          <w:rFonts w:ascii="Trebuchet MS" w:hAnsi="Trebuchet MS"/>
                          <w:b/>
                          <w:color w:val="2D0054"/>
                          <w:sz w:val="40"/>
                          <w:szCs w:val="72"/>
                        </w:rPr>
                        <w:t xml:space="preserve"> </w:t>
                      </w:r>
                      <w:r w:rsidR="00B6467C">
                        <w:rPr>
                          <w:rFonts w:ascii="Trebuchet MS" w:hAnsi="Trebuchet MS"/>
                          <w:color w:val="2D0054"/>
                          <w:sz w:val="40"/>
                          <w:szCs w:val="72"/>
                        </w:rPr>
                        <w:t>Ju</w:t>
                      </w:r>
                      <w:r w:rsidR="009879CA">
                        <w:rPr>
                          <w:rFonts w:ascii="Trebuchet MS" w:hAnsi="Trebuchet MS"/>
                          <w:color w:val="2D0054"/>
                          <w:sz w:val="40"/>
                          <w:szCs w:val="72"/>
                        </w:rPr>
                        <w:t>ly</w:t>
                      </w:r>
                      <w:r w:rsidR="00B6467C">
                        <w:rPr>
                          <w:rFonts w:ascii="Trebuchet MS" w:hAnsi="Trebuchet MS"/>
                          <w:color w:val="2D0054"/>
                          <w:sz w:val="40"/>
                          <w:szCs w:val="72"/>
                        </w:rPr>
                        <w:t xml:space="preserve"> 2022</w:t>
                      </w:r>
                    </w:p>
                  </w:txbxContent>
                </v:textbox>
                <w10:wrap anchorx="margin"/>
              </v:shape>
            </w:pict>
          </mc:Fallback>
        </mc:AlternateContent>
      </w:r>
    </w:p>
    <w:p w14:paraId="50B4A5DD" w14:textId="77777777" w:rsidR="00E45FAA" w:rsidRDefault="00E45FAA"/>
    <w:p w14:paraId="3D4BF6D6" w14:textId="77777777" w:rsidR="00E45FAA" w:rsidRDefault="00E45FAA"/>
    <w:p w14:paraId="26494AA2" w14:textId="77777777" w:rsidR="00E45FAA" w:rsidRDefault="00E45FAA"/>
    <w:sdt>
      <w:sdtPr>
        <w:rPr>
          <w:rFonts w:asciiTheme="minorHAnsi" w:eastAsiaTheme="minorHAnsi" w:hAnsiTheme="minorHAnsi" w:cstheme="minorBidi"/>
          <w:b w:val="0"/>
          <w:bCs w:val="0"/>
          <w:color w:val="auto"/>
          <w:sz w:val="22"/>
          <w:szCs w:val="22"/>
          <w:lang w:val="en-GB" w:eastAsia="en-US"/>
        </w:rPr>
        <w:id w:val="1035314965"/>
        <w:docPartObj>
          <w:docPartGallery w:val="Table of Contents"/>
          <w:docPartUnique/>
        </w:docPartObj>
      </w:sdtPr>
      <w:sdtEndPr>
        <w:rPr>
          <w:noProof/>
        </w:rPr>
      </w:sdtEndPr>
      <w:sdtContent>
        <w:p w14:paraId="64C0E8FD" w14:textId="77777777" w:rsidR="00876DB0" w:rsidRDefault="00876DB0">
          <w:pPr>
            <w:pStyle w:val="TOCHeading"/>
          </w:pPr>
          <w:r>
            <w:t>Contents</w:t>
          </w:r>
        </w:p>
        <w:p w14:paraId="57B71E55" w14:textId="77777777" w:rsidR="00A45AE2" w:rsidRDefault="00876DB0">
          <w:pPr>
            <w:pStyle w:val="TOC1"/>
            <w:tabs>
              <w:tab w:val="right" w:leader="dot" w:pos="9736"/>
            </w:tabs>
            <w:rPr>
              <w:rFonts w:eastAsiaTheme="minorEastAsia"/>
              <w:noProof/>
              <w:lang w:eastAsia="en-GB"/>
            </w:rPr>
          </w:pPr>
          <w:r>
            <w:fldChar w:fldCharType="begin"/>
          </w:r>
          <w:r>
            <w:instrText xml:space="preserve"> TOC \o "1-3" \h \z \u </w:instrText>
          </w:r>
          <w:r>
            <w:fldChar w:fldCharType="separate"/>
          </w:r>
          <w:hyperlink w:anchor="_Toc527462666" w:history="1">
            <w:r w:rsidR="00A45AE2" w:rsidRPr="00A84F86">
              <w:rPr>
                <w:rStyle w:val="Hyperlink"/>
                <w:noProof/>
              </w:rPr>
              <w:t>Version Control</w:t>
            </w:r>
            <w:r w:rsidR="00A45AE2">
              <w:rPr>
                <w:noProof/>
                <w:webHidden/>
              </w:rPr>
              <w:tab/>
            </w:r>
            <w:r w:rsidR="00A45AE2">
              <w:rPr>
                <w:noProof/>
                <w:webHidden/>
              </w:rPr>
              <w:fldChar w:fldCharType="begin"/>
            </w:r>
            <w:r w:rsidR="00A45AE2">
              <w:rPr>
                <w:noProof/>
                <w:webHidden/>
              </w:rPr>
              <w:instrText xml:space="preserve"> PAGEREF _Toc527462666 \h </w:instrText>
            </w:r>
            <w:r w:rsidR="00A45AE2">
              <w:rPr>
                <w:noProof/>
                <w:webHidden/>
              </w:rPr>
            </w:r>
            <w:r w:rsidR="00A45AE2">
              <w:rPr>
                <w:noProof/>
                <w:webHidden/>
              </w:rPr>
              <w:fldChar w:fldCharType="separate"/>
            </w:r>
            <w:r w:rsidR="00A45AE2">
              <w:rPr>
                <w:noProof/>
                <w:webHidden/>
              </w:rPr>
              <w:t>2</w:t>
            </w:r>
            <w:r w:rsidR="00A45AE2">
              <w:rPr>
                <w:noProof/>
                <w:webHidden/>
              </w:rPr>
              <w:fldChar w:fldCharType="end"/>
            </w:r>
          </w:hyperlink>
        </w:p>
        <w:p w14:paraId="2713765A" w14:textId="77777777" w:rsidR="00A45AE2" w:rsidRDefault="00B35972">
          <w:pPr>
            <w:pStyle w:val="TOC1"/>
            <w:tabs>
              <w:tab w:val="right" w:leader="dot" w:pos="9736"/>
            </w:tabs>
            <w:rPr>
              <w:rFonts w:eastAsiaTheme="minorEastAsia"/>
              <w:noProof/>
              <w:lang w:eastAsia="en-GB"/>
            </w:rPr>
          </w:pPr>
          <w:hyperlink w:anchor="_Toc527462667" w:history="1">
            <w:r w:rsidR="00A45AE2" w:rsidRPr="00A84F86">
              <w:rPr>
                <w:rStyle w:val="Hyperlink"/>
                <w:noProof/>
              </w:rPr>
              <w:t>Approvals</w:t>
            </w:r>
            <w:r w:rsidR="00A45AE2">
              <w:rPr>
                <w:noProof/>
                <w:webHidden/>
              </w:rPr>
              <w:tab/>
            </w:r>
            <w:r w:rsidR="00A45AE2">
              <w:rPr>
                <w:noProof/>
                <w:webHidden/>
              </w:rPr>
              <w:fldChar w:fldCharType="begin"/>
            </w:r>
            <w:r w:rsidR="00A45AE2">
              <w:rPr>
                <w:noProof/>
                <w:webHidden/>
              </w:rPr>
              <w:instrText xml:space="preserve"> PAGEREF _Toc527462667 \h </w:instrText>
            </w:r>
            <w:r w:rsidR="00A45AE2">
              <w:rPr>
                <w:noProof/>
                <w:webHidden/>
              </w:rPr>
            </w:r>
            <w:r w:rsidR="00A45AE2">
              <w:rPr>
                <w:noProof/>
                <w:webHidden/>
              </w:rPr>
              <w:fldChar w:fldCharType="separate"/>
            </w:r>
            <w:r w:rsidR="00A45AE2">
              <w:rPr>
                <w:noProof/>
                <w:webHidden/>
              </w:rPr>
              <w:t>2</w:t>
            </w:r>
            <w:r w:rsidR="00A45AE2">
              <w:rPr>
                <w:noProof/>
                <w:webHidden/>
              </w:rPr>
              <w:fldChar w:fldCharType="end"/>
            </w:r>
          </w:hyperlink>
        </w:p>
        <w:p w14:paraId="30B01B82" w14:textId="03429A92" w:rsidR="00A45AE2" w:rsidRDefault="00B35972">
          <w:pPr>
            <w:pStyle w:val="TOC1"/>
            <w:tabs>
              <w:tab w:val="right" w:leader="dot" w:pos="9736"/>
            </w:tabs>
            <w:rPr>
              <w:noProof/>
            </w:rPr>
          </w:pPr>
          <w:hyperlink w:anchor="_Toc527462668" w:history="1">
            <w:r w:rsidR="00A45AE2" w:rsidRPr="00A84F86">
              <w:rPr>
                <w:rStyle w:val="Hyperlink"/>
                <w:noProof/>
              </w:rPr>
              <w:t>Associated Documentation</w:t>
            </w:r>
            <w:r w:rsidR="00A45AE2">
              <w:rPr>
                <w:noProof/>
                <w:webHidden/>
              </w:rPr>
              <w:tab/>
            </w:r>
            <w:r w:rsidR="00A45AE2">
              <w:rPr>
                <w:noProof/>
                <w:webHidden/>
              </w:rPr>
              <w:fldChar w:fldCharType="begin"/>
            </w:r>
            <w:r w:rsidR="00A45AE2">
              <w:rPr>
                <w:noProof/>
                <w:webHidden/>
              </w:rPr>
              <w:instrText xml:space="preserve"> PAGEREF _Toc527462668 \h </w:instrText>
            </w:r>
            <w:r w:rsidR="00A45AE2">
              <w:rPr>
                <w:noProof/>
                <w:webHidden/>
              </w:rPr>
            </w:r>
            <w:r w:rsidR="00A45AE2">
              <w:rPr>
                <w:noProof/>
                <w:webHidden/>
              </w:rPr>
              <w:fldChar w:fldCharType="separate"/>
            </w:r>
            <w:r w:rsidR="00A45AE2">
              <w:rPr>
                <w:noProof/>
                <w:webHidden/>
              </w:rPr>
              <w:t>2</w:t>
            </w:r>
            <w:r w:rsidR="00A45AE2">
              <w:rPr>
                <w:noProof/>
                <w:webHidden/>
              </w:rPr>
              <w:fldChar w:fldCharType="end"/>
            </w:r>
          </w:hyperlink>
        </w:p>
        <w:p w14:paraId="2D308D1C" w14:textId="27765E6C" w:rsidR="008E1847" w:rsidRPr="008E1847" w:rsidRDefault="008E1847" w:rsidP="008E1847">
          <w:r>
            <w:t>Executive Summary…………………………………………………………………………………………...3</w:t>
          </w:r>
        </w:p>
        <w:p w14:paraId="6F1C28A2" w14:textId="7AC564AB" w:rsidR="00A45AE2" w:rsidRDefault="00B35972">
          <w:pPr>
            <w:pStyle w:val="TOC1"/>
            <w:tabs>
              <w:tab w:val="left" w:pos="660"/>
              <w:tab w:val="right" w:leader="dot" w:pos="9736"/>
            </w:tabs>
            <w:rPr>
              <w:rFonts w:eastAsiaTheme="minorEastAsia"/>
              <w:noProof/>
              <w:lang w:eastAsia="en-GB"/>
            </w:rPr>
          </w:pPr>
          <w:hyperlink w:anchor="_Toc527462669" w:history="1">
            <w:r w:rsidR="00A45AE2" w:rsidRPr="00A84F86">
              <w:rPr>
                <w:rStyle w:val="Hyperlink"/>
                <w:noProof/>
              </w:rPr>
              <w:t>1.0</w:t>
            </w:r>
            <w:r w:rsidR="008E1847">
              <w:rPr>
                <w:rFonts w:eastAsiaTheme="minorEastAsia"/>
                <w:noProof/>
                <w:lang w:eastAsia="en-GB"/>
              </w:rPr>
              <w:t xml:space="preserve"> </w:t>
            </w:r>
            <w:r w:rsidR="00A45AE2" w:rsidRPr="00A84F86">
              <w:rPr>
                <w:rStyle w:val="Hyperlink"/>
                <w:noProof/>
              </w:rPr>
              <w:t>C</w:t>
            </w:r>
            <w:r w:rsidR="00D91C0B">
              <w:rPr>
                <w:rStyle w:val="Hyperlink"/>
                <w:noProof/>
              </w:rPr>
              <w:t>limate and Environment Action Plan 2021- 30</w:t>
            </w:r>
            <w:r w:rsidR="00A45AE2">
              <w:rPr>
                <w:noProof/>
                <w:webHidden/>
              </w:rPr>
              <w:tab/>
            </w:r>
            <w:r w:rsidR="00A45AE2">
              <w:rPr>
                <w:noProof/>
                <w:webHidden/>
              </w:rPr>
              <w:fldChar w:fldCharType="begin"/>
            </w:r>
            <w:r w:rsidR="00A45AE2">
              <w:rPr>
                <w:noProof/>
                <w:webHidden/>
              </w:rPr>
              <w:instrText xml:space="preserve"> PAGEREF _Toc527462669 \h </w:instrText>
            </w:r>
            <w:r w:rsidR="00A45AE2">
              <w:rPr>
                <w:noProof/>
                <w:webHidden/>
              </w:rPr>
            </w:r>
            <w:r w:rsidR="00A45AE2">
              <w:rPr>
                <w:noProof/>
                <w:webHidden/>
              </w:rPr>
              <w:fldChar w:fldCharType="separate"/>
            </w:r>
            <w:r w:rsidR="00A45AE2">
              <w:rPr>
                <w:noProof/>
                <w:webHidden/>
              </w:rPr>
              <w:t>4</w:t>
            </w:r>
            <w:r w:rsidR="00A45AE2">
              <w:rPr>
                <w:noProof/>
                <w:webHidden/>
              </w:rPr>
              <w:fldChar w:fldCharType="end"/>
            </w:r>
          </w:hyperlink>
        </w:p>
        <w:p w14:paraId="264FC9F6" w14:textId="2E06C599" w:rsidR="00A45AE2" w:rsidRDefault="00B35972">
          <w:pPr>
            <w:pStyle w:val="TOC1"/>
            <w:tabs>
              <w:tab w:val="left" w:pos="660"/>
              <w:tab w:val="right" w:leader="dot" w:pos="9736"/>
            </w:tabs>
            <w:rPr>
              <w:rFonts w:eastAsiaTheme="minorEastAsia"/>
              <w:noProof/>
              <w:lang w:eastAsia="en-GB"/>
            </w:rPr>
          </w:pPr>
          <w:hyperlink w:anchor="_Toc527462670" w:history="1">
            <w:r w:rsidR="008E1847">
              <w:rPr>
                <w:rStyle w:val="Hyperlink"/>
                <w:noProof/>
              </w:rPr>
              <w:t xml:space="preserve">1.1 </w:t>
            </w:r>
            <w:r w:rsidR="00D91C0B">
              <w:rPr>
                <w:rStyle w:val="Hyperlink"/>
                <w:noProof/>
              </w:rPr>
              <w:t xml:space="preserve">Action Progress Methodology </w:t>
            </w:r>
            <w:r w:rsidR="00A45AE2">
              <w:rPr>
                <w:noProof/>
                <w:webHidden/>
              </w:rPr>
              <w:tab/>
            </w:r>
            <w:r w:rsidR="00A45AE2">
              <w:rPr>
                <w:noProof/>
                <w:webHidden/>
              </w:rPr>
              <w:fldChar w:fldCharType="begin"/>
            </w:r>
            <w:r w:rsidR="00A45AE2">
              <w:rPr>
                <w:noProof/>
                <w:webHidden/>
              </w:rPr>
              <w:instrText xml:space="preserve"> PAGEREF _Toc527462670 \h </w:instrText>
            </w:r>
            <w:r w:rsidR="00A45AE2">
              <w:rPr>
                <w:noProof/>
                <w:webHidden/>
              </w:rPr>
            </w:r>
            <w:r w:rsidR="00A45AE2">
              <w:rPr>
                <w:noProof/>
                <w:webHidden/>
              </w:rPr>
              <w:fldChar w:fldCharType="separate"/>
            </w:r>
            <w:r w:rsidR="00A45AE2">
              <w:rPr>
                <w:noProof/>
                <w:webHidden/>
              </w:rPr>
              <w:t>5</w:t>
            </w:r>
            <w:r w:rsidR="00A45AE2">
              <w:rPr>
                <w:noProof/>
                <w:webHidden/>
              </w:rPr>
              <w:fldChar w:fldCharType="end"/>
            </w:r>
          </w:hyperlink>
        </w:p>
        <w:p w14:paraId="6F4F2CCE" w14:textId="01E64D3D" w:rsidR="00A45AE2" w:rsidRDefault="00B35972">
          <w:pPr>
            <w:pStyle w:val="TOC1"/>
            <w:tabs>
              <w:tab w:val="right" w:leader="dot" w:pos="9736"/>
            </w:tabs>
            <w:rPr>
              <w:rFonts w:eastAsiaTheme="minorEastAsia"/>
              <w:noProof/>
              <w:lang w:eastAsia="en-GB"/>
            </w:rPr>
          </w:pPr>
          <w:hyperlink w:anchor="_Toc527462677" w:history="1">
            <w:r w:rsidR="008E1847">
              <w:rPr>
                <w:rStyle w:val="Hyperlink"/>
                <w:noProof/>
              </w:rPr>
              <w:t xml:space="preserve">1.2 </w:t>
            </w:r>
            <w:r w:rsidR="00D91C0B">
              <w:rPr>
                <w:rStyle w:val="Hyperlink"/>
                <w:noProof/>
              </w:rPr>
              <w:t xml:space="preserve">Goverenance Progress </w:t>
            </w:r>
            <w:r w:rsidR="00A45AE2">
              <w:rPr>
                <w:noProof/>
                <w:webHidden/>
              </w:rPr>
              <w:tab/>
            </w:r>
            <w:r>
              <w:rPr>
                <w:noProof/>
                <w:webHidden/>
              </w:rPr>
              <w:t>5</w:t>
            </w:r>
          </w:hyperlink>
        </w:p>
        <w:p w14:paraId="4B76D8CA" w14:textId="386ED2E9" w:rsidR="00A45AE2" w:rsidRDefault="00B35972">
          <w:pPr>
            <w:pStyle w:val="TOC1"/>
            <w:tabs>
              <w:tab w:val="right" w:leader="dot" w:pos="9736"/>
            </w:tabs>
            <w:rPr>
              <w:rFonts w:eastAsiaTheme="minorEastAsia"/>
              <w:noProof/>
              <w:lang w:eastAsia="en-GB"/>
            </w:rPr>
          </w:pPr>
          <w:hyperlink w:anchor="_Toc527462678" w:history="1">
            <w:r w:rsidR="008E1847">
              <w:rPr>
                <w:rStyle w:val="Hyperlink"/>
                <w:noProof/>
              </w:rPr>
              <w:t xml:space="preserve">1.3 </w:t>
            </w:r>
            <w:r w:rsidR="00A45AE2" w:rsidRPr="00A84F86">
              <w:rPr>
                <w:rStyle w:val="Hyperlink"/>
                <w:noProof/>
              </w:rPr>
              <w:t>Pr</w:t>
            </w:r>
            <w:r w:rsidR="00D91C0B">
              <w:rPr>
                <w:rStyle w:val="Hyperlink"/>
                <w:noProof/>
              </w:rPr>
              <w:t xml:space="preserve">ogress of individual Climate and Environment actions </w:t>
            </w:r>
            <w:r w:rsidR="00A45AE2">
              <w:rPr>
                <w:noProof/>
                <w:webHidden/>
              </w:rPr>
              <w:tab/>
            </w:r>
            <w:r w:rsidR="008E1847">
              <w:rPr>
                <w:noProof/>
                <w:webHidden/>
              </w:rPr>
              <w:t>5</w:t>
            </w:r>
          </w:hyperlink>
        </w:p>
        <w:p w14:paraId="2967A443" w14:textId="102BA632" w:rsidR="00A45AE2" w:rsidRDefault="00B35972">
          <w:pPr>
            <w:pStyle w:val="TOC1"/>
            <w:tabs>
              <w:tab w:val="right" w:leader="dot" w:pos="9736"/>
            </w:tabs>
            <w:rPr>
              <w:rFonts w:eastAsiaTheme="minorEastAsia"/>
              <w:noProof/>
              <w:lang w:eastAsia="en-GB"/>
            </w:rPr>
          </w:pPr>
          <w:hyperlink w:anchor="_Toc527462679" w:history="1">
            <w:r w:rsidR="008E1847">
              <w:rPr>
                <w:rStyle w:val="Hyperlink"/>
                <w:noProof/>
              </w:rPr>
              <w:t>1.4</w:t>
            </w:r>
            <w:r w:rsidR="00A45AE2" w:rsidRPr="00A84F86">
              <w:rPr>
                <w:rStyle w:val="Hyperlink"/>
                <w:noProof/>
              </w:rPr>
              <w:t xml:space="preserve"> Pr</w:t>
            </w:r>
            <w:r w:rsidR="00D91C0B">
              <w:rPr>
                <w:rStyle w:val="Hyperlink"/>
                <w:noProof/>
              </w:rPr>
              <w:t xml:space="preserve">ogress from the annual Carbon Report </w:t>
            </w:r>
            <w:r w:rsidR="00A45AE2">
              <w:rPr>
                <w:noProof/>
                <w:webHidden/>
              </w:rPr>
              <w:tab/>
            </w:r>
            <w:r w:rsidR="008E1847">
              <w:rPr>
                <w:noProof/>
                <w:webHidden/>
              </w:rPr>
              <w:t>9</w:t>
            </w:r>
          </w:hyperlink>
        </w:p>
        <w:p w14:paraId="081560E1" w14:textId="642C7714" w:rsidR="00A45AE2" w:rsidRDefault="00B35972">
          <w:pPr>
            <w:pStyle w:val="TOC1"/>
            <w:tabs>
              <w:tab w:val="right" w:leader="dot" w:pos="9736"/>
            </w:tabs>
            <w:rPr>
              <w:rFonts w:eastAsiaTheme="minorEastAsia"/>
              <w:noProof/>
              <w:lang w:eastAsia="en-GB"/>
            </w:rPr>
          </w:pPr>
          <w:hyperlink w:anchor="_Toc527462680" w:history="1">
            <w:r w:rsidR="008E1847">
              <w:rPr>
                <w:rStyle w:val="Hyperlink"/>
                <w:noProof/>
              </w:rPr>
              <w:t>1.5</w:t>
            </w:r>
            <w:r w:rsidR="00A45AE2" w:rsidRPr="00A84F86">
              <w:rPr>
                <w:rStyle w:val="Hyperlink"/>
                <w:noProof/>
              </w:rPr>
              <w:t xml:space="preserve"> </w:t>
            </w:r>
            <w:r w:rsidR="00D91C0B">
              <w:rPr>
                <w:rStyle w:val="Hyperlink"/>
                <w:noProof/>
              </w:rPr>
              <w:t xml:space="preserve">Additional Climate and Environment actions to be included in 2022/23 </w:t>
            </w:r>
            <w:r w:rsidR="00A45AE2">
              <w:rPr>
                <w:noProof/>
                <w:webHidden/>
              </w:rPr>
              <w:tab/>
            </w:r>
            <w:r w:rsidR="008E1847">
              <w:rPr>
                <w:noProof/>
                <w:webHidden/>
              </w:rPr>
              <w:t>11</w:t>
            </w:r>
          </w:hyperlink>
        </w:p>
        <w:p w14:paraId="3732569B" w14:textId="63953A3C" w:rsidR="00A45AE2" w:rsidRDefault="00B35972">
          <w:pPr>
            <w:pStyle w:val="TOC1"/>
            <w:tabs>
              <w:tab w:val="right" w:leader="dot" w:pos="9736"/>
            </w:tabs>
            <w:rPr>
              <w:rFonts w:eastAsiaTheme="minorEastAsia"/>
              <w:noProof/>
              <w:lang w:eastAsia="en-GB"/>
            </w:rPr>
          </w:pPr>
          <w:hyperlink w:anchor="_Toc527462681" w:history="1">
            <w:r w:rsidR="008E1847">
              <w:rPr>
                <w:rStyle w:val="Hyperlink"/>
                <w:noProof/>
              </w:rPr>
              <w:t xml:space="preserve">1.6 </w:t>
            </w:r>
            <w:r w:rsidR="00D91C0B">
              <w:rPr>
                <w:rStyle w:val="Hyperlink"/>
                <w:noProof/>
              </w:rPr>
              <w:t xml:space="preserve">Summary of reccomendations </w:t>
            </w:r>
            <w:r w:rsidR="008E1847">
              <w:rPr>
                <w:rStyle w:val="Hyperlink"/>
                <w:noProof/>
              </w:rPr>
              <w:t xml:space="preserve">for Climate and Environment actions 2022/23 </w:t>
            </w:r>
            <w:r w:rsidR="00A45AE2">
              <w:rPr>
                <w:noProof/>
                <w:webHidden/>
              </w:rPr>
              <w:tab/>
            </w:r>
            <w:r w:rsidR="008E1847">
              <w:rPr>
                <w:noProof/>
                <w:webHidden/>
              </w:rPr>
              <w:t>12</w:t>
            </w:r>
          </w:hyperlink>
        </w:p>
        <w:p w14:paraId="78B1156F" w14:textId="77777777" w:rsidR="00876DB0" w:rsidRDefault="00876DB0">
          <w:r>
            <w:rPr>
              <w:b/>
              <w:bCs/>
              <w:noProof/>
            </w:rPr>
            <w:fldChar w:fldCharType="end"/>
          </w:r>
        </w:p>
      </w:sdtContent>
    </w:sdt>
    <w:p w14:paraId="3C904A7F" w14:textId="77777777" w:rsidR="00E45FAA" w:rsidRDefault="00A731DB" w:rsidP="00A731DB">
      <w:pPr>
        <w:pStyle w:val="Heading1"/>
      </w:pPr>
      <w:bookmarkStart w:id="0" w:name="_Toc527462666"/>
      <w:r>
        <w:t>Version Control</w:t>
      </w:r>
      <w:bookmarkEnd w:id="0"/>
    </w:p>
    <w:tbl>
      <w:tblPr>
        <w:tblStyle w:val="LightList-Accent1"/>
        <w:tblW w:w="0" w:type="auto"/>
        <w:tblInd w:w="108" w:type="dxa"/>
        <w:tblLook w:val="0020" w:firstRow="1" w:lastRow="0" w:firstColumn="0" w:lastColumn="0" w:noHBand="0" w:noVBand="0"/>
      </w:tblPr>
      <w:tblGrid>
        <w:gridCol w:w="1411"/>
        <w:gridCol w:w="4932"/>
        <w:gridCol w:w="3275"/>
      </w:tblGrid>
      <w:tr w:rsidR="00A731DB" w14:paraId="6214FE4D" w14:textId="77777777" w:rsidTr="005A3CF8">
        <w:trPr>
          <w:cnfStyle w:val="100000000000" w:firstRow="1" w:lastRow="0" w:firstColumn="0" w:lastColumn="0" w:oddVBand="0" w:evenVBand="0" w:oddHBand="0" w:evenHBand="0" w:firstRowFirstColumn="0" w:firstRowLastColumn="0" w:lastRowFirstColumn="0" w:lastRowLastColumn="0"/>
          <w:trHeight w:val="264"/>
        </w:trPr>
        <w:tc>
          <w:tcPr>
            <w:cnfStyle w:val="000010000000" w:firstRow="0" w:lastRow="0" w:firstColumn="0" w:lastColumn="0" w:oddVBand="1" w:evenVBand="0" w:oddHBand="0" w:evenHBand="0" w:firstRowFirstColumn="0" w:firstRowLastColumn="0" w:lastRowFirstColumn="0" w:lastRowLastColumn="0"/>
            <w:tcW w:w="1420" w:type="dxa"/>
            <w:tcBorders>
              <w:top w:val="none" w:sz="0" w:space="0" w:color="auto"/>
              <w:left w:val="none" w:sz="0" w:space="0" w:color="auto"/>
              <w:bottom w:val="nil"/>
              <w:right w:val="none" w:sz="0" w:space="0" w:color="auto"/>
            </w:tcBorders>
          </w:tcPr>
          <w:p w14:paraId="0686B7B1" w14:textId="77777777" w:rsidR="00A731DB" w:rsidRDefault="00A731DB" w:rsidP="00A731DB">
            <w:pPr>
              <w:jc w:val="center"/>
            </w:pPr>
            <w:r>
              <w:t>Version</w:t>
            </w:r>
          </w:p>
        </w:tc>
        <w:tc>
          <w:tcPr>
            <w:tcW w:w="5015" w:type="dxa"/>
            <w:tcBorders>
              <w:bottom w:val="nil"/>
            </w:tcBorders>
          </w:tcPr>
          <w:p w14:paraId="7941B4B3" w14:textId="77777777" w:rsidR="00A731DB" w:rsidRDefault="00A731DB" w:rsidP="00A731DB">
            <w:pPr>
              <w:jc w:val="center"/>
              <w:cnfStyle w:val="100000000000" w:firstRow="1" w:lastRow="0" w:firstColumn="0" w:lastColumn="0" w:oddVBand="0" w:evenVBand="0" w:oddHBand="0" w:evenHBand="0" w:firstRowFirstColumn="0" w:firstRowLastColumn="0" w:lastRowFirstColumn="0" w:lastRowLastColumn="0"/>
            </w:pPr>
            <w:r>
              <w:t>Description of version</w:t>
            </w:r>
          </w:p>
        </w:tc>
        <w:tc>
          <w:tcPr>
            <w:cnfStyle w:val="000010000000" w:firstRow="0" w:lastRow="0" w:firstColumn="0" w:lastColumn="0" w:oddVBand="1" w:evenVBand="0" w:oddHBand="0" w:evenHBand="0" w:firstRowFirstColumn="0" w:firstRowLastColumn="0" w:lastRowFirstColumn="0" w:lastRowLastColumn="0"/>
            <w:tcW w:w="3326" w:type="dxa"/>
            <w:tcBorders>
              <w:top w:val="none" w:sz="0" w:space="0" w:color="auto"/>
              <w:left w:val="none" w:sz="0" w:space="0" w:color="auto"/>
              <w:bottom w:val="nil"/>
              <w:right w:val="none" w:sz="0" w:space="0" w:color="auto"/>
            </w:tcBorders>
          </w:tcPr>
          <w:p w14:paraId="68BE2818" w14:textId="77777777" w:rsidR="00A731DB" w:rsidRDefault="00A731DB" w:rsidP="00A731DB">
            <w:pPr>
              <w:jc w:val="center"/>
            </w:pPr>
            <w:r>
              <w:t>Effective Date</w:t>
            </w:r>
          </w:p>
        </w:tc>
      </w:tr>
      <w:tr w:rsidR="00A731DB" w14:paraId="710E76E4" w14:textId="77777777" w:rsidTr="005A3CF8">
        <w:trPr>
          <w:cnfStyle w:val="000000100000" w:firstRow="0" w:lastRow="0" w:firstColumn="0" w:lastColumn="0" w:oddVBand="0" w:evenVBand="0" w:oddHBand="1" w:evenHBand="0" w:firstRowFirstColumn="0" w:firstRowLastColumn="0" w:lastRowFirstColumn="0" w:lastRowLastColumn="0"/>
          <w:trHeight w:val="264"/>
        </w:trPr>
        <w:tc>
          <w:tcPr>
            <w:cnfStyle w:val="000010000000" w:firstRow="0" w:lastRow="0" w:firstColumn="0" w:lastColumn="0" w:oddVBand="1" w:evenVBand="0" w:oddHBand="0" w:evenHBand="0" w:firstRowFirstColumn="0" w:firstRowLastColumn="0" w:lastRowFirstColumn="0" w:lastRowLastColumn="0"/>
            <w:tcW w:w="1420" w:type="dxa"/>
            <w:tcBorders>
              <w:top w:val="nil"/>
              <w:left w:val="none" w:sz="0" w:space="0" w:color="auto"/>
            </w:tcBorders>
          </w:tcPr>
          <w:p w14:paraId="5A6CCB27" w14:textId="77777777" w:rsidR="00A731DB" w:rsidRDefault="00F42AC3">
            <w:r>
              <w:t>0.1</w:t>
            </w:r>
          </w:p>
        </w:tc>
        <w:tc>
          <w:tcPr>
            <w:tcW w:w="5015" w:type="dxa"/>
            <w:tcBorders>
              <w:top w:val="nil"/>
              <w:left w:val="single" w:sz="8" w:space="0" w:color="2D0054" w:themeColor="accent1"/>
              <w:right w:val="single" w:sz="8" w:space="0" w:color="2D0054" w:themeColor="accent1"/>
            </w:tcBorders>
          </w:tcPr>
          <w:p w14:paraId="1ABA88B0" w14:textId="77777777" w:rsidR="00A731DB" w:rsidRDefault="00F42AC3">
            <w:pPr>
              <w:cnfStyle w:val="000000100000" w:firstRow="0" w:lastRow="0" w:firstColumn="0" w:lastColumn="0" w:oddVBand="0" w:evenVBand="0" w:oddHBand="1" w:evenHBand="0" w:firstRowFirstColumn="0" w:firstRowLastColumn="0" w:lastRowFirstColumn="0" w:lastRowLastColumn="0"/>
            </w:pPr>
            <w:r>
              <w:t>DRAFT</w:t>
            </w:r>
          </w:p>
        </w:tc>
        <w:tc>
          <w:tcPr>
            <w:cnfStyle w:val="000010000000" w:firstRow="0" w:lastRow="0" w:firstColumn="0" w:lastColumn="0" w:oddVBand="1" w:evenVBand="0" w:oddHBand="0" w:evenHBand="0" w:firstRowFirstColumn="0" w:firstRowLastColumn="0" w:lastRowFirstColumn="0" w:lastRowLastColumn="0"/>
            <w:tcW w:w="3326" w:type="dxa"/>
            <w:tcBorders>
              <w:top w:val="nil"/>
              <w:right w:val="none" w:sz="0" w:space="0" w:color="auto"/>
            </w:tcBorders>
          </w:tcPr>
          <w:p w14:paraId="011A8289" w14:textId="786AF5B0" w:rsidR="00A731DB" w:rsidRDefault="008140F6">
            <w:r>
              <w:t>June 2022</w:t>
            </w:r>
          </w:p>
        </w:tc>
      </w:tr>
      <w:tr w:rsidR="00A731DB" w14:paraId="55DC9569" w14:textId="77777777" w:rsidTr="005A3CF8">
        <w:trPr>
          <w:trHeight w:val="280"/>
        </w:trPr>
        <w:tc>
          <w:tcPr>
            <w:cnfStyle w:val="000010000000" w:firstRow="0" w:lastRow="0" w:firstColumn="0" w:lastColumn="0" w:oddVBand="1" w:evenVBand="0" w:oddHBand="0" w:evenHBand="0" w:firstRowFirstColumn="0" w:firstRowLastColumn="0" w:lastRowFirstColumn="0" w:lastRowLastColumn="0"/>
            <w:tcW w:w="1420" w:type="dxa"/>
            <w:tcBorders>
              <w:top w:val="single" w:sz="8" w:space="0" w:color="2D0054" w:themeColor="accent1"/>
              <w:left w:val="none" w:sz="0" w:space="0" w:color="auto"/>
            </w:tcBorders>
          </w:tcPr>
          <w:p w14:paraId="52F400B7" w14:textId="77777777" w:rsidR="00A731DB" w:rsidRDefault="00A731DB"/>
        </w:tc>
        <w:tc>
          <w:tcPr>
            <w:tcW w:w="5015" w:type="dxa"/>
            <w:tcBorders>
              <w:top w:val="single" w:sz="8" w:space="0" w:color="2D0054" w:themeColor="accent1"/>
              <w:left w:val="single" w:sz="8" w:space="0" w:color="2D0054" w:themeColor="accent1"/>
              <w:bottom w:val="single" w:sz="8" w:space="0" w:color="2D0054" w:themeColor="accent1"/>
              <w:right w:val="single" w:sz="8" w:space="0" w:color="2D0054" w:themeColor="accent1"/>
            </w:tcBorders>
          </w:tcPr>
          <w:p w14:paraId="75CC4378" w14:textId="77777777" w:rsidR="00A731DB" w:rsidRDefault="00A731DB">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326" w:type="dxa"/>
            <w:tcBorders>
              <w:top w:val="single" w:sz="8" w:space="0" w:color="2D0054" w:themeColor="accent1"/>
              <w:right w:val="none" w:sz="0" w:space="0" w:color="auto"/>
            </w:tcBorders>
          </w:tcPr>
          <w:p w14:paraId="38454E60" w14:textId="77777777" w:rsidR="00A731DB" w:rsidRDefault="00A731DB"/>
        </w:tc>
      </w:tr>
    </w:tbl>
    <w:p w14:paraId="0A5CC380" w14:textId="77777777" w:rsidR="00876DB0" w:rsidRDefault="00A731DB" w:rsidP="00A731DB">
      <w:pPr>
        <w:pStyle w:val="Heading1"/>
      </w:pPr>
      <w:bookmarkStart w:id="1" w:name="_Toc527462667"/>
      <w:r>
        <w:t>Approvals</w:t>
      </w:r>
      <w:bookmarkEnd w:id="1"/>
    </w:p>
    <w:tbl>
      <w:tblPr>
        <w:tblStyle w:val="LightList-Accent1"/>
        <w:tblW w:w="0" w:type="auto"/>
        <w:tblInd w:w="108" w:type="dxa"/>
        <w:tblLook w:val="0020" w:firstRow="1" w:lastRow="0" w:firstColumn="0" w:lastColumn="0" w:noHBand="0" w:noVBand="0"/>
      </w:tblPr>
      <w:tblGrid>
        <w:gridCol w:w="7774"/>
        <w:gridCol w:w="1844"/>
      </w:tblGrid>
      <w:tr w:rsidR="00A731DB" w14:paraId="416E0062" w14:textId="77777777" w:rsidTr="005A3CF8">
        <w:trPr>
          <w:cnfStyle w:val="100000000000" w:firstRow="1" w:lastRow="0" w:firstColumn="0" w:lastColumn="0" w:oddVBand="0" w:evenVBand="0" w:oddHBand="0" w:evenHBand="0" w:firstRowFirstColumn="0" w:firstRowLastColumn="0" w:lastRowFirstColumn="0" w:lastRowLastColumn="0"/>
          <w:trHeight w:val="265"/>
        </w:trPr>
        <w:tc>
          <w:tcPr>
            <w:cnfStyle w:val="000010000000" w:firstRow="0" w:lastRow="0" w:firstColumn="0" w:lastColumn="0" w:oddVBand="1" w:evenVBand="0" w:oddHBand="0" w:evenHBand="0" w:firstRowFirstColumn="0" w:firstRowLastColumn="0" w:lastRowFirstColumn="0" w:lastRowLastColumn="0"/>
            <w:tcW w:w="7907" w:type="dxa"/>
            <w:tcBorders>
              <w:top w:val="none" w:sz="0" w:space="0" w:color="auto"/>
              <w:left w:val="none" w:sz="0" w:space="0" w:color="auto"/>
              <w:bottom w:val="nil"/>
              <w:right w:val="none" w:sz="0" w:space="0" w:color="auto"/>
            </w:tcBorders>
          </w:tcPr>
          <w:p w14:paraId="23C4BDA0" w14:textId="77777777" w:rsidR="00A731DB" w:rsidRDefault="00A731DB" w:rsidP="00BE002F">
            <w:pPr>
              <w:jc w:val="center"/>
            </w:pPr>
            <w:r>
              <w:t>Approved by</w:t>
            </w:r>
          </w:p>
        </w:tc>
        <w:tc>
          <w:tcPr>
            <w:tcW w:w="1867" w:type="dxa"/>
            <w:tcBorders>
              <w:bottom w:val="nil"/>
            </w:tcBorders>
          </w:tcPr>
          <w:p w14:paraId="4DAB5879" w14:textId="77777777" w:rsidR="00A731DB" w:rsidRDefault="00A731DB" w:rsidP="00BE002F">
            <w:pPr>
              <w:jc w:val="center"/>
              <w:cnfStyle w:val="100000000000" w:firstRow="1" w:lastRow="0" w:firstColumn="0" w:lastColumn="0" w:oddVBand="0" w:evenVBand="0" w:oddHBand="0" w:evenHBand="0" w:firstRowFirstColumn="0" w:firstRowLastColumn="0" w:lastRowFirstColumn="0" w:lastRowLastColumn="0"/>
            </w:pPr>
            <w:r>
              <w:t>Date</w:t>
            </w:r>
          </w:p>
        </w:tc>
      </w:tr>
      <w:tr w:rsidR="00A731DB" w14:paraId="2F0300A7" w14:textId="77777777" w:rsidTr="005A3CF8">
        <w:trPr>
          <w:cnfStyle w:val="000000100000" w:firstRow="0" w:lastRow="0" w:firstColumn="0" w:lastColumn="0" w:oddVBand="0" w:evenVBand="0" w:oddHBand="1" w:evenHBand="0" w:firstRowFirstColumn="0" w:firstRowLastColumn="0" w:lastRowFirstColumn="0" w:lastRowLastColumn="0"/>
          <w:trHeight w:val="280"/>
        </w:trPr>
        <w:tc>
          <w:tcPr>
            <w:cnfStyle w:val="000010000000" w:firstRow="0" w:lastRow="0" w:firstColumn="0" w:lastColumn="0" w:oddVBand="1" w:evenVBand="0" w:oddHBand="0" w:evenHBand="0" w:firstRowFirstColumn="0" w:firstRowLastColumn="0" w:lastRowFirstColumn="0" w:lastRowLastColumn="0"/>
            <w:tcW w:w="7907" w:type="dxa"/>
            <w:tcBorders>
              <w:top w:val="nil"/>
              <w:left w:val="none" w:sz="0" w:space="0" w:color="auto"/>
            </w:tcBorders>
          </w:tcPr>
          <w:p w14:paraId="3411950E" w14:textId="3540A78B" w:rsidR="00A731DB" w:rsidRDefault="008140F6" w:rsidP="00BE002F">
            <w:r>
              <w:t>Matt Holford</w:t>
            </w:r>
          </w:p>
        </w:tc>
        <w:tc>
          <w:tcPr>
            <w:tcW w:w="1867" w:type="dxa"/>
            <w:tcBorders>
              <w:top w:val="nil"/>
              <w:left w:val="single" w:sz="8" w:space="0" w:color="2D0054" w:themeColor="accent1"/>
              <w:right w:val="none" w:sz="0" w:space="0" w:color="auto"/>
            </w:tcBorders>
          </w:tcPr>
          <w:p w14:paraId="219011AE" w14:textId="77777777" w:rsidR="00A731DB" w:rsidRDefault="00A731DB" w:rsidP="00BE002F">
            <w:pPr>
              <w:cnfStyle w:val="000000100000" w:firstRow="0" w:lastRow="0" w:firstColumn="0" w:lastColumn="0" w:oddVBand="0" w:evenVBand="0" w:oddHBand="1" w:evenHBand="0" w:firstRowFirstColumn="0" w:firstRowLastColumn="0" w:lastRowFirstColumn="0" w:lastRowLastColumn="0"/>
            </w:pPr>
          </w:p>
        </w:tc>
      </w:tr>
      <w:tr w:rsidR="00A731DB" w14:paraId="643FB11D" w14:textId="77777777" w:rsidTr="005A3CF8">
        <w:trPr>
          <w:trHeight w:val="265"/>
        </w:trPr>
        <w:tc>
          <w:tcPr>
            <w:cnfStyle w:val="000010000000" w:firstRow="0" w:lastRow="0" w:firstColumn="0" w:lastColumn="0" w:oddVBand="1" w:evenVBand="0" w:oddHBand="0" w:evenHBand="0" w:firstRowFirstColumn="0" w:firstRowLastColumn="0" w:lastRowFirstColumn="0" w:lastRowLastColumn="0"/>
            <w:tcW w:w="7907" w:type="dxa"/>
            <w:tcBorders>
              <w:top w:val="single" w:sz="8" w:space="0" w:color="2D0054" w:themeColor="accent1"/>
              <w:left w:val="none" w:sz="0" w:space="0" w:color="auto"/>
            </w:tcBorders>
          </w:tcPr>
          <w:p w14:paraId="213CC23D" w14:textId="15C5C25C" w:rsidR="00A731DB" w:rsidRDefault="008140F6" w:rsidP="00BE002F">
            <w:r>
              <w:t xml:space="preserve">Committee </w:t>
            </w:r>
          </w:p>
        </w:tc>
        <w:tc>
          <w:tcPr>
            <w:tcW w:w="1867" w:type="dxa"/>
            <w:tcBorders>
              <w:top w:val="single" w:sz="8" w:space="0" w:color="2D0054" w:themeColor="accent1"/>
              <w:left w:val="single" w:sz="8" w:space="0" w:color="2D0054" w:themeColor="accent1"/>
              <w:bottom w:val="single" w:sz="8" w:space="0" w:color="2D0054" w:themeColor="accent1"/>
            </w:tcBorders>
          </w:tcPr>
          <w:p w14:paraId="32F46126" w14:textId="77777777" w:rsidR="00A731DB" w:rsidRDefault="00A731DB" w:rsidP="00BE002F">
            <w:pPr>
              <w:cnfStyle w:val="000000000000" w:firstRow="0" w:lastRow="0" w:firstColumn="0" w:lastColumn="0" w:oddVBand="0" w:evenVBand="0" w:oddHBand="0" w:evenHBand="0" w:firstRowFirstColumn="0" w:firstRowLastColumn="0" w:lastRowFirstColumn="0" w:lastRowLastColumn="0"/>
            </w:pPr>
          </w:p>
        </w:tc>
      </w:tr>
    </w:tbl>
    <w:p w14:paraId="7A7A9C38" w14:textId="77777777" w:rsidR="00A731DB" w:rsidRDefault="00A731DB" w:rsidP="00A731DB">
      <w:pPr>
        <w:pStyle w:val="Heading1"/>
      </w:pPr>
      <w:bookmarkStart w:id="2" w:name="_Toc527462668"/>
      <w:r>
        <w:t>Associated Documentation</w:t>
      </w:r>
      <w:bookmarkEnd w:id="2"/>
    </w:p>
    <w:tbl>
      <w:tblPr>
        <w:tblStyle w:val="LightList-Accent1"/>
        <w:tblW w:w="0" w:type="auto"/>
        <w:tblInd w:w="108" w:type="dxa"/>
        <w:tblLook w:val="0020" w:firstRow="1" w:lastRow="0" w:firstColumn="0" w:lastColumn="0" w:noHBand="0" w:noVBand="0"/>
      </w:tblPr>
      <w:tblGrid>
        <w:gridCol w:w="4757"/>
        <w:gridCol w:w="4861"/>
      </w:tblGrid>
      <w:tr w:rsidR="006B6F39" w14:paraId="5FFC3669" w14:textId="77777777" w:rsidTr="008140F6">
        <w:trPr>
          <w:cnfStyle w:val="100000000000" w:firstRow="1" w:lastRow="0" w:firstColumn="0" w:lastColumn="0" w:oddVBand="0" w:evenVBand="0" w:oddHBand="0"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4757" w:type="dxa"/>
            <w:tcBorders>
              <w:top w:val="none" w:sz="0" w:space="0" w:color="auto"/>
              <w:left w:val="none" w:sz="0" w:space="0" w:color="auto"/>
              <w:bottom w:val="nil"/>
              <w:right w:val="none" w:sz="0" w:space="0" w:color="auto"/>
            </w:tcBorders>
          </w:tcPr>
          <w:p w14:paraId="4CC805C2" w14:textId="77777777" w:rsidR="006B6F39" w:rsidRDefault="006B6F39" w:rsidP="00BE002F">
            <w:pPr>
              <w:jc w:val="center"/>
            </w:pPr>
            <w:r>
              <w:t>Description of Documentation</w:t>
            </w:r>
          </w:p>
        </w:tc>
        <w:tc>
          <w:tcPr>
            <w:tcW w:w="4861" w:type="dxa"/>
            <w:tcBorders>
              <w:bottom w:val="nil"/>
            </w:tcBorders>
          </w:tcPr>
          <w:p w14:paraId="3091AF3B" w14:textId="77777777" w:rsidR="006B6F39" w:rsidRDefault="006B6F39" w:rsidP="00BE002F">
            <w:pPr>
              <w:jc w:val="center"/>
              <w:cnfStyle w:val="100000000000" w:firstRow="1" w:lastRow="0" w:firstColumn="0" w:lastColumn="0" w:oddVBand="0" w:evenVBand="0" w:oddHBand="0" w:evenHBand="0" w:firstRowFirstColumn="0" w:firstRowLastColumn="0" w:lastRowFirstColumn="0" w:lastRowLastColumn="0"/>
            </w:pPr>
          </w:p>
        </w:tc>
      </w:tr>
      <w:tr w:rsidR="006B6F39" w14:paraId="76FD4B74" w14:textId="77777777" w:rsidTr="008140F6">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4757" w:type="dxa"/>
            <w:tcBorders>
              <w:top w:val="nil"/>
              <w:left w:val="none" w:sz="0" w:space="0" w:color="auto"/>
            </w:tcBorders>
          </w:tcPr>
          <w:p w14:paraId="69C03B06" w14:textId="69143E3C" w:rsidR="006B6F39" w:rsidRPr="009D3838" w:rsidRDefault="008140F6" w:rsidP="00BE002F">
            <w:pPr>
              <w:rPr>
                <w:sz w:val="20"/>
              </w:rPr>
            </w:pPr>
            <w:r>
              <w:rPr>
                <w:sz w:val="20"/>
              </w:rPr>
              <w:t>Climate and Environment Action Plan 2021-30</w:t>
            </w:r>
          </w:p>
        </w:tc>
        <w:tc>
          <w:tcPr>
            <w:tcW w:w="4861" w:type="dxa"/>
            <w:tcBorders>
              <w:top w:val="nil"/>
              <w:left w:val="single" w:sz="8" w:space="0" w:color="2D0054" w:themeColor="accent1"/>
              <w:right w:val="none" w:sz="0" w:space="0" w:color="auto"/>
            </w:tcBorders>
          </w:tcPr>
          <w:p w14:paraId="0EA55011" w14:textId="77777777" w:rsidR="006B6F39" w:rsidRPr="009D3838" w:rsidRDefault="006B6F39" w:rsidP="00BE002F">
            <w:pPr>
              <w:cnfStyle w:val="000000100000" w:firstRow="0" w:lastRow="0" w:firstColumn="0" w:lastColumn="0" w:oddVBand="0" w:evenVBand="0" w:oddHBand="1" w:evenHBand="0" w:firstRowFirstColumn="0" w:firstRowLastColumn="0" w:lastRowFirstColumn="0" w:lastRowLastColumn="0"/>
              <w:rPr>
                <w:sz w:val="20"/>
              </w:rPr>
            </w:pPr>
          </w:p>
        </w:tc>
      </w:tr>
      <w:tr w:rsidR="006B6F39" w14:paraId="51537653" w14:textId="77777777" w:rsidTr="008140F6">
        <w:trPr>
          <w:trHeight w:val="275"/>
        </w:trPr>
        <w:tc>
          <w:tcPr>
            <w:cnfStyle w:val="000010000000" w:firstRow="0" w:lastRow="0" w:firstColumn="0" w:lastColumn="0" w:oddVBand="1" w:evenVBand="0" w:oddHBand="0" w:evenHBand="0" w:firstRowFirstColumn="0" w:firstRowLastColumn="0" w:lastRowFirstColumn="0" w:lastRowLastColumn="0"/>
            <w:tcW w:w="4757" w:type="dxa"/>
            <w:tcBorders>
              <w:top w:val="single" w:sz="8" w:space="0" w:color="2D0054" w:themeColor="accent1"/>
              <w:left w:val="none" w:sz="0" w:space="0" w:color="auto"/>
            </w:tcBorders>
          </w:tcPr>
          <w:p w14:paraId="6E449294" w14:textId="39C36B63" w:rsidR="006B6F39" w:rsidRPr="009D3838" w:rsidRDefault="008140F6" w:rsidP="00BE002F">
            <w:pPr>
              <w:rPr>
                <w:sz w:val="20"/>
              </w:rPr>
            </w:pPr>
            <w:r>
              <w:rPr>
                <w:sz w:val="20"/>
              </w:rPr>
              <w:t>SDDC Carbon Report 2021/22</w:t>
            </w:r>
          </w:p>
        </w:tc>
        <w:tc>
          <w:tcPr>
            <w:tcW w:w="4861" w:type="dxa"/>
            <w:tcBorders>
              <w:top w:val="single" w:sz="8" w:space="0" w:color="2D0054" w:themeColor="accent1"/>
              <w:left w:val="single" w:sz="8" w:space="0" w:color="2D0054" w:themeColor="accent1"/>
              <w:bottom w:val="single" w:sz="8" w:space="0" w:color="2D0054" w:themeColor="accent1"/>
            </w:tcBorders>
          </w:tcPr>
          <w:p w14:paraId="57B83844" w14:textId="77777777" w:rsidR="006B6F39" w:rsidRPr="009D3838" w:rsidRDefault="006B6F39" w:rsidP="00BE002F">
            <w:pPr>
              <w:cnfStyle w:val="000000000000" w:firstRow="0" w:lastRow="0" w:firstColumn="0" w:lastColumn="0" w:oddVBand="0" w:evenVBand="0" w:oddHBand="0" w:evenHBand="0" w:firstRowFirstColumn="0" w:firstRowLastColumn="0" w:lastRowFirstColumn="0" w:lastRowLastColumn="0"/>
              <w:rPr>
                <w:sz w:val="20"/>
              </w:rPr>
            </w:pPr>
          </w:p>
        </w:tc>
      </w:tr>
    </w:tbl>
    <w:p w14:paraId="750A14F2" w14:textId="6065FE7F" w:rsidR="00537870" w:rsidRDefault="00537870" w:rsidP="00A856AC">
      <w:pPr>
        <w:pStyle w:val="Heading1"/>
      </w:pPr>
    </w:p>
    <w:p w14:paraId="43E13B88" w14:textId="26A8FB32" w:rsidR="00263245" w:rsidRDefault="00263245" w:rsidP="00263245"/>
    <w:p w14:paraId="3BB96C1B" w14:textId="53751176" w:rsidR="00D91C0B" w:rsidRDefault="00D91C0B" w:rsidP="00263245"/>
    <w:p w14:paraId="4D2BCAE9" w14:textId="24142DD4" w:rsidR="00D91C0B" w:rsidRDefault="00D91C0B" w:rsidP="00263245"/>
    <w:p w14:paraId="352EE80C" w14:textId="6388D984" w:rsidR="00D91C0B" w:rsidRDefault="00D91C0B" w:rsidP="00263245"/>
    <w:p w14:paraId="7F70779F" w14:textId="32D45DC2" w:rsidR="00263245" w:rsidRPr="00263245" w:rsidRDefault="00263245" w:rsidP="00263245">
      <w:pPr>
        <w:pStyle w:val="Heading1"/>
      </w:pPr>
      <w:r>
        <w:lastRenderedPageBreak/>
        <w:t>Executive Summary</w:t>
      </w:r>
    </w:p>
    <w:p w14:paraId="4E6F1BA5" w14:textId="7920AD8D" w:rsidR="00F85DC0" w:rsidRDefault="00263245" w:rsidP="00F85DC0">
      <w:r>
        <w:t xml:space="preserve">This </w:t>
      </w:r>
      <w:r w:rsidR="001B61EA">
        <w:t>Action Progress Report</w:t>
      </w:r>
      <w:r>
        <w:t xml:space="preserve"> examines the Climate and Environment Action Plan 2021-30 using the outcomes from the external audits, the </w:t>
      </w:r>
      <w:r w:rsidR="001B61EA">
        <w:t>Council’s quarterly s</w:t>
      </w:r>
      <w:r>
        <w:t xml:space="preserve">ervice feedback of the progress being made on all the climate actions detailed </w:t>
      </w:r>
      <w:r w:rsidR="001B61EA">
        <w:t xml:space="preserve">in the Action Plan 2021-30 </w:t>
      </w:r>
      <w:r>
        <w:t xml:space="preserve">and the </w:t>
      </w:r>
      <w:r w:rsidR="0025103A">
        <w:t xml:space="preserve">Councils annual </w:t>
      </w:r>
      <w:r>
        <w:t xml:space="preserve">carbon emission </w:t>
      </w:r>
      <w:r w:rsidR="009879CA">
        <w:t xml:space="preserve">reduction </w:t>
      </w:r>
      <w:r w:rsidR="0025103A">
        <w:t xml:space="preserve">report 2021/22. </w:t>
      </w:r>
    </w:p>
    <w:p w14:paraId="40868F3D" w14:textId="3429DFFA" w:rsidR="006371A8" w:rsidRDefault="0025103A" w:rsidP="00F85DC0">
      <w:r>
        <w:t xml:space="preserve">Overall the </w:t>
      </w:r>
      <w:r w:rsidR="001B61EA">
        <w:t>progress made is</w:t>
      </w:r>
      <w:r w:rsidR="009879CA">
        <w:t xml:space="preserve"> positive and </w:t>
      </w:r>
      <w:r w:rsidR="006371A8">
        <w:t>show that:</w:t>
      </w:r>
    </w:p>
    <w:p w14:paraId="4BC9B0B8" w14:textId="3749F3DF" w:rsidR="0025103A" w:rsidRDefault="006371A8" w:rsidP="006371A8">
      <w:pPr>
        <w:pStyle w:val="ListParagraph"/>
        <w:numPr>
          <w:ilvl w:val="0"/>
          <w:numId w:val="46"/>
        </w:numPr>
      </w:pPr>
      <w:r>
        <w:t xml:space="preserve">The external audits verify the climate mitigation and decarbonisation actions that the Council are taking, and the governance of Climate and Environment Action Plan passes external scrutiny. </w:t>
      </w:r>
    </w:p>
    <w:p w14:paraId="64F442D1" w14:textId="74EC4465" w:rsidR="006371A8" w:rsidRDefault="006371A8" w:rsidP="006371A8">
      <w:pPr>
        <w:pStyle w:val="ListParagraph"/>
        <w:numPr>
          <w:ilvl w:val="0"/>
          <w:numId w:val="46"/>
        </w:numPr>
      </w:pPr>
      <w:r>
        <w:t>The progress that the Council</w:t>
      </w:r>
      <w:r w:rsidR="00BB07EB">
        <w:t xml:space="preserve">’s </w:t>
      </w:r>
      <w:r>
        <w:t>Services are taking in delivering the actions is on track</w:t>
      </w:r>
      <w:r w:rsidR="00D81350">
        <w:t xml:space="preserve"> with 62% of the 55 actions in progress or completed.</w:t>
      </w:r>
    </w:p>
    <w:p w14:paraId="0B00DB20" w14:textId="63531781" w:rsidR="00461E1C" w:rsidRDefault="00461E1C" w:rsidP="006371A8">
      <w:pPr>
        <w:pStyle w:val="ListParagraph"/>
        <w:numPr>
          <w:ilvl w:val="0"/>
          <w:numId w:val="46"/>
        </w:numPr>
      </w:pPr>
      <w:r>
        <w:t xml:space="preserve">There are some significant successful actions that the Council is </w:t>
      </w:r>
      <w:r w:rsidR="007F3837">
        <w:t>taking and</w:t>
      </w:r>
      <w:r>
        <w:t xml:space="preserve"> illustrate the commitment that is being made by the Council around the Climate and Environment agenda, these are highlighted in the report. </w:t>
      </w:r>
    </w:p>
    <w:p w14:paraId="2EE67620" w14:textId="5FCA6B96" w:rsidR="00D81350" w:rsidRDefault="00D81350" w:rsidP="006371A8">
      <w:pPr>
        <w:pStyle w:val="ListParagraph"/>
        <w:numPr>
          <w:ilvl w:val="0"/>
          <w:numId w:val="46"/>
        </w:numPr>
      </w:pPr>
      <w:r>
        <w:t>The results from the Council’s annual carbon</w:t>
      </w:r>
      <w:r w:rsidR="009879CA">
        <w:t xml:space="preserve"> </w:t>
      </w:r>
      <w:r>
        <w:t xml:space="preserve">report for 2021/22 illustrate that carbon emissions from both </w:t>
      </w:r>
      <w:r w:rsidR="00F621AC">
        <w:t>I</w:t>
      </w:r>
      <w:r>
        <w:t xml:space="preserve">n-house and </w:t>
      </w:r>
      <w:r w:rsidR="00267106">
        <w:t>D</w:t>
      </w:r>
      <w:r>
        <w:t xml:space="preserve">istrict-wide activities are reducing in-line with the carbon reduction roadmap set out in the Climate and Environment Action Plan 2021/30. </w:t>
      </w:r>
    </w:p>
    <w:p w14:paraId="04953F85" w14:textId="6CCF54AB" w:rsidR="007F3837" w:rsidRPr="00F85DC0" w:rsidRDefault="009879CA" w:rsidP="00D81350">
      <w:r>
        <w:t>S</w:t>
      </w:r>
      <w:r w:rsidR="00D81350">
        <w:t>ignificant progress has been made in the delivery of the Climate and Environment Action Plan in 2021/22</w:t>
      </w:r>
      <w:r>
        <w:t xml:space="preserve"> and</w:t>
      </w:r>
      <w:r w:rsidR="00D81350">
        <w:t xml:space="preserve"> this re</w:t>
      </w:r>
      <w:r w:rsidR="00BB07EB">
        <w:t xml:space="preserve">port details the progress made and </w:t>
      </w:r>
      <w:r w:rsidR="00461E1C">
        <w:t>recommendations t</w:t>
      </w:r>
      <w:r w:rsidR="007F3837">
        <w:t>hat will improve the capability of individual actions, the overall action plan and its performance in achieving the Council</w:t>
      </w:r>
      <w:r w:rsidR="00267106">
        <w:t>’</w:t>
      </w:r>
      <w:r w:rsidR="007F3837">
        <w:t>s carbon neutral commitments.</w:t>
      </w:r>
    </w:p>
    <w:p w14:paraId="757583B9" w14:textId="2E520927" w:rsidR="00AD4677" w:rsidRDefault="00A856AC" w:rsidP="00263245">
      <w:pPr>
        <w:pStyle w:val="Heading1"/>
        <w:numPr>
          <w:ilvl w:val="0"/>
          <w:numId w:val="6"/>
        </w:numPr>
      </w:pPr>
      <w:bookmarkStart w:id="3" w:name="_Toc527462670"/>
      <w:r>
        <w:t>Climate and Environment Action Plan</w:t>
      </w:r>
      <w:bookmarkEnd w:id="3"/>
      <w:r w:rsidR="00856F7F">
        <w:t xml:space="preserve"> 2021-30</w:t>
      </w:r>
      <w:r w:rsidR="00F85DC0">
        <w:t>.</w:t>
      </w:r>
      <w:r w:rsidR="00AC457D">
        <w:t xml:space="preserve"> </w:t>
      </w:r>
    </w:p>
    <w:p w14:paraId="3C5B7DB0" w14:textId="15485A4F" w:rsidR="0017211F" w:rsidRDefault="00375A9D" w:rsidP="00BB07EB">
      <w:r>
        <w:t xml:space="preserve">The </w:t>
      </w:r>
      <w:r w:rsidR="001808B7">
        <w:t xml:space="preserve">South Derbyshire District Council (SDDC) </w:t>
      </w:r>
      <w:r>
        <w:t>Climate and Environment Action Plan 2021-30</w:t>
      </w:r>
      <w:r w:rsidR="00285432">
        <w:t xml:space="preserve"> (C&amp;E Action Plan)</w:t>
      </w:r>
      <w:r>
        <w:t xml:space="preserve"> was approved by Council in July 2021</w:t>
      </w:r>
      <w:r w:rsidR="00A32AA0">
        <w:t xml:space="preserve"> and</w:t>
      </w:r>
      <w:r w:rsidR="00BB07EB">
        <w:t xml:space="preserve"> </w:t>
      </w:r>
      <w:r w:rsidR="00285432">
        <w:t>agreed that</w:t>
      </w:r>
      <w:r w:rsidR="00A856AC">
        <w:t xml:space="preserve"> it </w:t>
      </w:r>
      <w:r w:rsidR="00285432">
        <w:t>would be reviewed on an annual basis</w:t>
      </w:r>
      <w:r w:rsidR="00BB07EB">
        <w:t>.</w:t>
      </w:r>
    </w:p>
    <w:p w14:paraId="7A8D34DC" w14:textId="77777777" w:rsidR="001808B7" w:rsidRDefault="00375A9D" w:rsidP="00A67B00">
      <w:r>
        <w:t>The C&amp;E Action Plan detail</w:t>
      </w:r>
      <w:r w:rsidR="007A1FF5">
        <w:t xml:space="preserve">s </w:t>
      </w:r>
      <w:r>
        <w:t xml:space="preserve">the </w:t>
      </w:r>
      <w:r w:rsidR="007E6F70">
        <w:t xml:space="preserve">55 </w:t>
      </w:r>
      <w:r>
        <w:t>action</w:t>
      </w:r>
      <w:r w:rsidR="007E6F70">
        <w:t>s</w:t>
      </w:r>
      <w:r>
        <w:t xml:space="preserve"> South Derbyshire District Council </w:t>
      </w:r>
      <w:r w:rsidR="007A1FF5">
        <w:t xml:space="preserve">(SDDC) </w:t>
      </w:r>
      <w:r>
        <w:t xml:space="preserve">has approved to reduce its in-house carbon emissions to carbon neutral by 2030 and to support the reduction of the district-wide carbon emissions to zero </w:t>
      </w:r>
      <w:r w:rsidR="001808B7">
        <w:t>in line</w:t>
      </w:r>
      <w:r w:rsidR="00AA5938">
        <w:t xml:space="preserve"> with the UK Governments 2050 target. </w:t>
      </w:r>
    </w:p>
    <w:p w14:paraId="7E957558" w14:textId="3519AD3D" w:rsidR="003B1AF8" w:rsidRDefault="001808B7" w:rsidP="003B1AF8">
      <w:r>
        <w:t>T</w:t>
      </w:r>
      <w:r w:rsidR="003B1AF8">
        <w:t xml:space="preserve">he 55 actions </w:t>
      </w:r>
      <w:r>
        <w:t xml:space="preserve">within the C&amp;E Action Plan </w:t>
      </w:r>
      <w:r w:rsidR="00F5251F">
        <w:t xml:space="preserve">to deliver carbon neutrality </w:t>
      </w:r>
      <w:r w:rsidR="003B1AF8">
        <w:t xml:space="preserve">are </w:t>
      </w:r>
      <w:r>
        <w:t xml:space="preserve">categorised </w:t>
      </w:r>
      <w:r w:rsidR="003B1AF8">
        <w:t>in the table below</w:t>
      </w:r>
      <w:r w:rsidR="00856F7F">
        <w:t>.</w:t>
      </w:r>
    </w:p>
    <w:tbl>
      <w:tblPr>
        <w:tblStyle w:val="TableGrid"/>
        <w:tblW w:w="9214" w:type="dxa"/>
        <w:tblInd w:w="-5" w:type="dxa"/>
        <w:tblLook w:val="04A0" w:firstRow="1" w:lastRow="0" w:firstColumn="1" w:lastColumn="0" w:noHBand="0" w:noVBand="1"/>
      </w:tblPr>
      <w:tblGrid>
        <w:gridCol w:w="6096"/>
        <w:gridCol w:w="1417"/>
        <w:gridCol w:w="1701"/>
      </w:tblGrid>
      <w:tr w:rsidR="003B1AF8" w:rsidRPr="0002105A" w14:paraId="0ABEF1A8" w14:textId="77777777" w:rsidTr="00F85DC0">
        <w:tc>
          <w:tcPr>
            <w:tcW w:w="6096" w:type="dxa"/>
            <w:shd w:val="clear" w:color="auto" w:fill="D9D9D9" w:themeFill="background1" w:themeFillShade="D9"/>
          </w:tcPr>
          <w:p w14:paraId="46C3B96A" w14:textId="77777777" w:rsidR="003B1AF8" w:rsidRPr="00B66E94" w:rsidRDefault="003B1AF8" w:rsidP="00691FF2">
            <w:pPr>
              <w:rPr>
                <w:rFonts w:ascii="Arial" w:hAnsi="Arial" w:cs="Arial"/>
                <w:b/>
                <w:bCs/>
              </w:rPr>
            </w:pPr>
            <w:r w:rsidRPr="00B66E94">
              <w:rPr>
                <w:rFonts w:ascii="Arial" w:hAnsi="Arial" w:cs="Arial"/>
                <w:b/>
                <w:bCs/>
              </w:rPr>
              <w:t>Types of Climate and Environment Actions.</w:t>
            </w:r>
          </w:p>
        </w:tc>
        <w:tc>
          <w:tcPr>
            <w:tcW w:w="1417" w:type="dxa"/>
            <w:shd w:val="clear" w:color="auto" w:fill="D9D9D9" w:themeFill="background1" w:themeFillShade="D9"/>
          </w:tcPr>
          <w:p w14:paraId="5DACE881" w14:textId="77777777" w:rsidR="003B1AF8" w:rsidRPr="00B66E94" w:rsidRDefault="003B1AF8" w:rsidP="00691FF2">
            <w:pPr>
              <w:rPr>
                <w:rFonts w:ascii="Arial" w:hAnsi="Arial" w:cs="Arial"/>
                <w:b/>
                <w:bCs/>
              </w:rPr>
            </w:pPr>
            <w:r w:rsidRPr="00B66E94">
              <w:rPr>
                <w:rFonts w:ascii="Arial" w:hAnsi="Arial" w:cs="Arial"/>
                <w:b/>
                <w:bCs/>
              </w:rPr>
              <w:t>Number of actions</w:t>
            </w:r>
          </w:p>
        </w:tc>
        <w:tc>
          <w:tcPr>
            <w:tcW w:w="1701" w:type="dxa"/>
            <w:shd w:val="clear" w:color="auto" w:fill="D9D9D9" w:themeFill="background1" w:themeFillShade="D9"/>
          </w:tcPr>
          <w:p w14:paraId="4D608444" w14:textId="77777777" w:rsidR="003B1AF8" w:rsidRPr="00B66E94" w:rsidRDefault="003B1AF8" w:rsidP="00691FF2">
            <w:pPr>
              <w:rPr>
                <w:rFonts w:ascii="Arial" w:hAnsi="Arial" w:cs="Arial"/>
                <w:b/>
                <w:bCs/>
              </w:rPr>
            </w:pPr>
            <w:r w:rsidRPr="00B66E94">
              <w:rPr>
                <w:rFonts w:ascii="Arial" w:hAnsi="Arial" w:cs="Arial"/>
                <w:b/>
                <w:bCs/>
              </w:rPr>
              <w:t xml:space="preserve">Number of committed actions* </w:t>
            </w:r>
          </w:p>
        </w:tc>
      </w:tr>
      <w:tr w:rsidR="003B1AF8" w:rsidRPr="0002105A" w14:paraId="3BE0BBC8" w14:textId="77777777" w:rsidTr="00F85DC0">
        <w:tc>
          <w:tcPr>
            <w:tcW w:w="6096" w:type="dxa"/>
          </w:tcPr>
          <w:p w14:paraId="5A498269" w14:textId="77777777" w:rsidR="003B1AF8" w:rsidRPr="00B66E94" w:rsidRDefault="003B1AF8" w:rsidP="00691FF2">
            <w:pPr>
              <w:rPr>
                <w:rFonts w:ascii="Arial" w:hAnsi="Arial" w:cs="Arial"/>
                <w:b/>
                <w:bCs/>
              </w:rPr>
            </w:pPr>
            <w:r w:rsidRPr="00B66E94">
              <w:rPr>
                <w:rFonts w:ascii="Arial" w:hAnsi="Arial" w:cs="Arial"/>
                <w:b/>
                <w:bCs/>
              </w:rPr>
              <w:t>Transformative Actions</w:t>
            </w:r>
          </w:p>
          <w:p w14:paraId="511CE1D1" w14:textId="22113EB6" w:rsidR="003B1AF8" w:rsidRPr="00B66E94" w:rsidRDefault="00A10FB1" w:rsidP="00691FF2">
            <w:pPr>
              <w:rPr>
                <w:rFonts w:ascii="Arial" w:hAnsi="Arial" w:cs="Arial"/>
              </w:rPr>
            </w:pPr>
            <w:r>
              <w:rPr>
                <w:rFonts w:ascii="Arial" w:hAnsi="Arial" w:cs="Arial"/>
              </w:rPr>
              <w:t>High cost, high impact a</w:t>
            </w:r>
            <w:r w:rsidR="003B1AF8" w:rsidRPr="00B66E94">
              <w:rPr>
                <w:rFonts w:ascii="Arial" w:hAnsi="Arial" w:cs="Arial"/>
              </w:rPr>
              <w:t>ctions to reduce the carbon footprint of the Councils largest emission sources</w:t>
            </w:r>
            <w:r w:rsidR="003B1AF8">
              <w:rPr>
                <w:rFonts w:ascii="Arial" w:hAnsi="Arial" w:cs="Arial"/>
              </w:rPr>
              <w:t xml:space="preserve">. </w:t>
            </w:r>
            <w:r>
              <w:rPr>
                <w:rFonts w:ascii="Arial" w:hAnsi="Arial" w:cs="Arial"/>
              </w:rPr>
              <w:t xml:space="preserve">The completion of these actions will deliver in-house carbon neutrality. </w:t>
            </w:r>
          </w:p>
        </w:tc>
        <w:tc>
          <w:tcPr>
            <w:tcW w:w="1417" w:type="dxa"/>
          </w:tcPr>
          <w:p w14:paraId="5C0FE970" w14:textId="77777777" w:rsidR="003B1AF8" w:rsidRPr="00B66E94" w:rsidRDefault="003B1AF8" w:rsidP="00691FF2">
            <w:pPr>
              <w:rPr>
                <w:rFonts w:ascii="Arial" w:hAnsi="Arial" w:cs="Arial"/>
              </w:rPr>
            </w:pPr>
            <w:r w:rsidRPr="00B66E94">
              <w:rPr>
                <w:rFonts w:ascii="Arial" w:hAnsi="Arial" w:cs="Arial"/>
              </w:rPr>
              <w:t>8</w:t>
            </w:r>
          </w:p>
        </w:tc>
        <w:tc>
          <w:tcPr>
            <w:tcW w:w="1701" w:type="dxa"/>
          </w:tcPr>
          <w:p w14:paraId="697B57B5" w14:textId="6529ABC3" w:rsidR="003B1AF8" w:rsidRPr="00B66E94" w:rsidRDefault="00F5251F" w:rsidP="00691FF2">
            <w:pPr>
              <w:rPr>
                <w:rFonts w:ascii="Arial" w:hAnsi="Arial" w:cs="Arial"/>
              </w:rPr>
            </w:pPr>
            <w:r>
              <w:rPr>
                <w:rFonts w:ascii="Arial" w:hAnsi="Arial" w:cs="Arial"/>
              </w:rPr>
              <w:t>2</w:t>
            </w:r>
          </w:p>
        </w:tc>
      </w:tr>
      <w:tr w:rsidR="003B1AF8" w:rsidRPr="0002105A" w14:paraId="43D99BDF" w14:textId="77777777" w:rsidTr="00F85DC0">
        <w:tc>
          <w:tcPr>
            <w:tcW w:w="6096" w:type="dxa"/>
          </w:tcPr>
          <w:p w14:paraId="3790B941" w14:textId="77777777" w:rsidR="003B1AF8" w:rsidRPr="003B1AF8" w:rsidRDefault="003B1AF8" w:rsidP="00691FF2">
            <w:pPr>
              <w:rPr>
                <w:rFonts w:ascii="Arial" w:hAnsi="Arial" w:cs="Arial"/>
                <w:b/>
                <w:bCs/>
              </w:rPr>
            </w:pPr>
            <w:r w:rsidRPr="003B1AF8">
              <w:rPr>
                <w:rFonts w:ascii="Arial" w:hAnsi="Arial" w:cs="Arial"/>
                <w:b/>
                <w:bCs/>
              </w:rPr>
              <w:t>In-house Service Actions</w:t>
            </w:r>
          </w:p>
          <w:p w14:paraId="4BD6BC9E" w14:textId="72E01A1E" w:rsidR="003B1AF8" w:rsidRPr="00B66E94" w:rsidRDefault="003B1AF8" w:rsidP="00691FF2">
            <w:pPr>
              <w:rPr>
                <w:rFonts w:ascii="Arial" w:hAnsi="Arial" w:cs="Arial"/>
              </w:rPr>
            </w:pPr>
            <w:r>
              <w:rPr>
                <w:rFonts w:ascii="Arial" w:hAnsi="Arial" w:cs="Arial"/>
              </w:rPr>
              <w:t>A</w:t>
            </w:r>
            <w:r w:rsidRPr="00B66E94">
              <w:rPr>
                <w:rFonts w:ascii="Arial" w:hAnsi="Arial" w:cs="Arial"/>
              </w:rPr>
              <w:t xml:space="preserve">ctions that each Service will deliver </w:t>
            </w:r>
            <w:r w:rsidR="00A10FB1">
              <w:rPr>
                <w:rFonts w:ascii="Arial" w:hAnsi="Arial" w:cs="Arial"/>
              </w:rPr>
              <w:t xml:space="preserve">through their annual service plans </w:t>
            </w:r>
            <w:r w:rsidRPr="00B66E94">
              <w:rPr>
                <w:rFonts w:ascii="Arial" w:hAnsi="Arial" w:cs="Arial"/>
              </w:rPr>
              <w:t xml:space="preserve">to reduce the carbon emissions aligned to and resulting from their service area. </w:t>
            </w:r>
          </w:p>
        </w:tc>
        <w:tc>
          <w:tcPr>
            <w:tcW w:w="1417" w:type="dxa"/>
          </w:tcPr>
          <w:p w14:paraId="080EC4C8" w14:textId="77777777" w:rsidR="003B1AF8" w:rsidRPr="00B66E94" w:rsidRDefault="003B1AF8" w:rsidP="00691FF2">
            <w:pPr>
              <w:rPr>
                <w:rFonts w:ascii="Arial" w:hAnsi="Arial" w:cs="Arial"/>
              </w:rPr>
            </w:pPr>
            <w:r w:rsidRPr="00B66E94">
              <w:rPr>
                <w:rFonts w:ascii="Arial" w:hAnsi="Arial" w:cs="Arial"/>
              </w:rPr>
              <w:t>29</w:t>
            </w:r>
          </w:p>
        </w:tc>
        <w:tc>
          <w:tcPr>
            <w:tcW w:w="1701" w:type="dxa"/>
          </w:tcPr>
          <w:p w14:paraId="399FD5CB" w14:textId="77777777" w:rsidR="003B1AF8" w:rsidRPr="00B66E94" w:rsidRDefault="003B1AF8" w:rsidP="00691FF2">
            <w:pPr>
              <w:rPr>
                <w:rFonts w:ascii="Arial" w:hAnsi="Arial" w:cs="Arial"/>
              </w:rPr>
            </w:pPr>
            <w:r w:rsidRPr="00B66E94">
              <w:rPr>
                <w:rFonts w:ascii="Arial" w:hAnsi="Arial" w:cs="Arial"/>
              </w:rPr>
              <w:t>13</w:t>
            </w:r>
          </w:p>
        </w:tc>
      </w:tr>
      <w:tr w:rsidR="003B1AF8" w:rsidRPr="0002105A" w14:paraId="6305F640" w14:textId="77777777" w:rsidTr="00F85DC0">
        <w:tc>
          <w:tcPr>
            <w:tcW w:w="6096" w:type="dxa"/>
          </w:tcPr>
          <w:p w14:paraId="0E3D8CA9" w14:textId="77777777" w:rsidR="003B1AF8" w:rsidRPr="003B1AF8" w:rsidRDefault="003B1AF8" w:rsidP="00691FF2">
            <w:pPr>
              <w:rPr>
                <w:rFonts w:ascii="Arial" w:hAnsi="Arial" w:cs="Arial"/>
                <w:b/>
                <w:bCs/>
              </w:rPr>
            </w:pPr>
            <w:r w:rsidRPr="003B1AF8">
              <w:rPr>
                <w:rFonts w:ascii="Arial" w:hAnsi="Arial" w:cs="Arial"/>
                <w:b/>
                <w:bCs/>
              </w:rPr>
              <w:t>District Wide Service Actions</w:t>
            </w:r>
          </w:p>
          <w:p w14:paraId="6A49F048" w14:textId="3DFEFA63" w:rsidR="003B1AF8" w:rsidRPr="00B66E94" w:rsidRDefault="003B1AF8" w:rsidP="00691FF2">
            <w:pPr>
              <w:rPr>
                <w:rFonts w:ascii="Arial" w:hAnsi="Arial" w:cs="Arial"/>
              </w:rPr>
            </w:pPr>
            <w:r>
              <w:rPr>
                <w:rFonts w:ascii="Arial" w:hAnsi="Arial" w:cs="Arial"/>
              </w:rPr>
              <w:lastRenderedPageBreak/>
              <w:t>A</w:t>
            </w:r>
            <w:r w:rsidRPr="00B66E94">
              <w:rPr>
                <w:rFonts w:ascii="Arial" w:hAnsi="Arial" w:cs="Arial"/>
              </w:rPr>
              <w:t>ctions that each Service will deliver</w:t>
            </w:r>
            <w:r w:rsidR="00A10FB1">
              <w:rPr>
                <w:rFonts w:ascii="Arial" w:hAnsi="Arial" w:cs="Arial"/>
              </w:rPr>
              <w:t xml:space="preserve"> through their annual service plans</w:t>
            </w:r>
            <w:r w:rsidRPr="00B66E94">
              <w:rPr>
                <w:rFonts w:ascii="Arial" w:hAnsi="Arial" w:cs="Arial"/>
              </w:rPr>
              <w:t xml:space="preserve"> to reduce the carbon emissions across the </w:t>
            </w:r>
            <w:r w:rsidR="00267106">
              <w:rPr>
                <w:rFonts w:ascii="Arial" w:hAnsi="Arial" w:cs="Arial"/>
              </w:rPr>
              <w:t>D</w:t>
            </w:r>
            <w:r w:rsidRPr="00B66E94">
              <w:rPr>
                <w:rFonts w:ascii="Arial" w:hAnsi="Arial" w:cs="Arial"/>
              </w:rPr>
              <w:t>istrict that are aligned to their service area.</w:t>
            </w:r>
          </w:p>
        </w:tc>
        <w:tc>
          <w:tcPr>
            <w:tcW w:w="1417" w:type="dxa"/>
          </w:tcPr>
          <w:p w14:paraId="3193DF89" w14:textId="77777777" w:rsidR="003B1AF8" w:rsidRPr="00B66E94" w:rsidRDefault="003B1AF8" w:rsidP="00691FF2">
            <w:pPr>
              <w:rPr>
                <w:rFonts w:ascii="Arial" w:hAnsi="Arial" w:cs="Arial"/>
              </w:rPr>
            </w:pPr>
            <w:r w:rsidRPr="00B66E94">
              <w:rPr>
                <w:rFonts w:ascii="Arial" w:hAnsi="Arial" w:cs="Arial"/>
              </w:rPr>
              <w:lastRenderedPageBreak/>
              <w:t>18</w:t>
            </w:r>
          </w:p>
        </w:tc>
        <w:tc>
          <w:tcPr>
            <w:tcW w:w="1701" w:type="dxa"/>
          </w:tcPr>
          <w:p w14:paraId="10F35B65" w14:textId="77777777" w:rsidR="003B1AF8" w:rsidRPr="00B66E94" w:rsidRDefault="003B1AF8" w:rsidP="00691FF2">
            <w:pPr>
              <w:rPr>
                <w:rFonts w:ascii="Arial" w:hAnsi="Arial" w:cs="Arial"/>
              </w:rPr>
            </w:pPr>
            <w:r w:rsidRPr="00B66E94">
              <w:rPr>
                <w:rFonts w:ascii="Arial" w:hAnsi="Arial" w:cs="Arial"/>
              </w:rPr>
              <w:t>12</w:t>
            </w:r>
          </w:p>
        </w:tc>
      </w:tr>
      <w:tr w:rsidR="003B1AF8" w:rsidRPr="0002105A" w14:paraId="017B63E2" w14:textId="77777777" w:rsidTr="00F85DC0">
        <w:tc>
          <w:tcPr>
            <w:tcW w:w="6096" w:type="dxa"/>
            <w:shd w:val="clear" w:color="auto" w:fill="D9D9D9" w:themeFill="background1" w:themeFillShade="D9"/>
          </w:tcPr>
          <w:p w14:paraId="76C4D6CE" w14:textId="77777777" w:rsidR="003B1AF8" w:rsidRPr="003B1AF8" w:rsidRDefault="003B1AF8" w:rsidP="00691FF2">
            <w:pPr>
              <w:rPr>
                <w:rFonts w:ascii="Arial" w:hAnsi="Arial" w:cs="Arial"/>
                <w:b/>
                <w:bCs/>
              </w:rPr>
            </w:pPr>
            <w:r w:rsidRPr="003B1AF8">
              <w:rPr>
                <w:rFonts w:ascii="Arial" w:hAnsi="Arial" w:cs="Arial"/>
                <w:b/>
                <w:bCs/>
              </w:rPr>
              <w:t>Total Actions</w:t>
            </w:r>
          </w:p>
        </w:tc>
        <w:tc>
          <w:tcPr>
            <w:tcW w:w="1417" w:type="dxa"/>
            <w:shd w:val="clear" w:color="auto" w:fill="D9D9D9" w:themeFill="background1" w:themeFillShade="D9"/>
          </w:tcPr>
          <w:p w14:paraId="787189B4" w14:textId="77777777" w:rsidR="003B1AF8" w:rsidRPr="00B66E94" w:rsidRDefault="003B1AF8" w:rsidP="00691FF2">
            <w:pPr>
              <w:rPr>
                <w:rFonts w:ascii="Arial" w:hAnsi="Arial" w:cs="Arial"/>
              </w:rPr>
            </w:pPr>
            <w:r w:rsidRPr="00B66E94">
              <w:rPr>
                <w:rFonts w:ascii="Arial" w:hAnsi="Arial" w:cs="Arial"/>
              </w:rPr>
              <w:t>55</w:t>
            </w:r>
          </w:p>
        </w:tc>
        <w:tc>
          <w:tcPr>
            <w:tcW w:w="1701" w:type="dxa"/>
            <w:shd w:val="clear" w:color="auto" w:fill="D9D9D9" w:themeFill="background1" w:themeFillShade="D9"/>
          </w:tcPr>
          <w:p w14:paraId="36BCBBBF" w14:textId="00A11467" w:rsidR="003B1AF8" w:rsidRPr="00B66E94" w:rsidRDefault="003B1AF8" w:rsidP="00691FF2">
            <w:pPr>
              <w:rPr>
                <w:rFonts w:ascii="Arial" w:hAnsi="Arial" w:cs="Arial"/>
              </w:rPr>
            </w:pPr>
            <w:r w:rsidRPr="00B66E94">
              <w:rPr>
                <w:rFonts w:ascii="Arial" w:hAnsi="Arial" w:cs="Arial"/>
              </w:rPr>
              <w:t>2</w:t>
            </w:r>
            <w:r w:rsidR="00F5251F">
              <w:rPr>
                <w:rFonts w:ascii="Arial" w:hAnsi="Arial" w:cs="Arial"/>
              </w:rPr>
              <w:t>7</w:t>
            </w:r>
          </w:p>
        </w:tc>
      </w:tr>
      <w:tr w:rsidR="00F85DC0" w:rsidRPr="00F85DC0" w14:paraId="5A992D15" w14:textId="77777777" w:rsidTr="00F85DC0">
        <w:tc>
          <w:tcPr>
            <w:tcW w:w="6096" w:type="dxa"/>
            <w:shd w:val="clear" w:color="auto" w:fill="D9D9D9" w:themeFill="background1" w:themeFillShade="D9"/>
          </w:tcPr>
          <w:p w14:paraId="07DBDD02" w14:textId="5671043A" w:rsidR="00F85DC0" w:rsidRPr="00F85DC0" w:rsidRDefault="00F85DC0" w:rsidP="00691FF2">
            <w:pPr>
              <w:rPr>
                <w:rFonts w:ascii="Arial" w:hAnsi="Arial" w:cs="Arial"/>
                <w:b/>
                <w:bCs/>
              </w:rPr>
            </w:pPr>
            <w:r w:rsidRPr="00F85DC0">
              <w:rPr>
                <w:rFonts w:ascii="Arial" w:hAnsi="Arial" w:cs="Arial"/>
                <w:b/>
                <w:bCs/>
                <w:sz w:val="18"/>
                <w:szCs w:val="18"/>
              </w:rPr>
              <w:t>*</w:t>
            </w:r>
            <w:r w:rsidRPr="00F85DC0">
              <w:rPr>
                <w:rFonts w:cstheme="minorHAnsi"/>
                <w:b/>
                <w:bCs/>
                <w:sz w:val="16"/>
                <w:szCs w:val="16"/>
              </w:rPr>
              <w:t xml:space="preserve"> Committed actions are those that have financial budgets attached to them</w:t>
            </w:r>
          </w:p>
        </w:tc>
        <w:tc>
          <w:tcPr>
            <w:tcW w:w="1417" w:type="dxa"/>
            <w:shd w:val="clear" w:color="auto" w:fill="D9D9D9" w:themeFill="background1" w:themeFillShade="D9"/>
          </w:tcPr>
          <w:p w14:paraId="18BA387F" w14:textId="77777777" w:rsidR="00F85DC0" w:rsidRPr="00F85DC0" w:rsidRDefault="00F85DC0" w:rsidP="00691FF2">
            <w:pPr>
              <w:rPr>
                <w:rFonts w:ascii="Arial" w:hAnsi="Arial" w:cs="Arial"/>
                <w:b/>
                <w:bCs/>
              </w:rPr>
            </w:pPr>
          </w:p>
        </w:tc>
        <w:tc>
          <w:tcPr>
            <w:tcW w:w="1701" w:type="dxa"/>
            <w:shd w:val="clear" w:color="auto" w:fill="D9D9D9" w:themeFill="background1" w:themeFillShade="D9"/>
          </w:tcPr>
          <w:p w14:paraId="3B161E67" w14:textId="77777777" w:rsidR="00F85DC0" w:rsidRPr="00F85DC0" w:rsidRDefault="00F85DC0" w:rsidP="00691FF2">
            <w:pPr>
              <w:rPr>
                <w:rFonts w:ascii="Arial" w:hAnsi="Arial" w:cs="Arial"/>
                <w:b/>
                <w:bCs/>
              </w:rPr>
            </w:pPr>
          </w:p>
        </w:tc>
      </w:tr>
    </w:tbl>
    <w:p w14:paraId="244FDE90" w14:textId="68E77357" w:rsidR="00F5251F" w:rsidRDefault="00F5251F" w:rsidP="00F5251F">
      <w:bookmarkStart w:id="4" w:name="_Toc527462672"/>
    </w:p>
    <w:p w14:paraId="7EB7B072" w14:textId="0B4D477A" w:rsidR="00393C17" w:rsidRDefault="00A856AC" w:rsidP="00A856AC">
      <w:pPr>
        <w:pStyle w:val="Heading2"/>
      </w:pPr>
      <w:bookmarkStart w:id="5" w:name="_Toc527462674"/>
      <w:bookmarkEnd w:id="4"/>
      <w:r>
        <w:t>1</w:t>
      </w:r>
      <w:r w:rsidR="002D5F0D">
        <w:t>.</w:t>
      </w:r>
      <w:r w:rsidR="00856F7F">
        <w:t>1</w:t>
      </w:r>
      <w:r w:rsidR="002D5F0D">
        <w:t xml:space="preserve"> </w:t>
      </w:r>
      <w:r w:rsidR="00856F7F">
        <w:t xml:space="preserve">Action Progress </w:t>
      </w:r>
      <w:r w:rsidR="00B6467C">
        <w:t xml:space="preserve">Methodology </w:t>
      </w:r>
    </w:p>
    <w:p w14:paraId="675A465C" w14:textId="4E080072" w:rsidR="00B6467C" w:rsidRDefault="00393C17" w:rsidP="00393C17">
      <w:pPr>
        <w:pStyle w:val="Heading3"/>
        <w:rPr>
          <w:rFonts w:asciiTheme="minorHAnsi" w:hAnsiTheme="minorHAnsi" w:cstheme="minorHAnsi"/>
          <w:sz w:val="22"/>
          <w:szCs w:val="22"/>
        </w:rPr>
      </w:pPr>
      <w:r w:rsidRPr="00393C17">
        <w:rPr>
          <w:rFonts w:asciiTheme="minorHAnsi" w:hAnsiTheme="minorHAnsi" w:cstheme="minorHAnsi"/>
          <w:sz w:val="22"/>
          <w:szCs w:val="22"/>
        </w:rPr>
        <w:t>Th</w:t>
      </w:r>
      <w:r w:rsidR="000F7A4D">
        <w:rPr>
          <w:rFonts w:asciiTheme="minorHAnsi" w:hAnsiTheme="minorHAnsi" w:cstheme="minorHAnsi"/>
          <w:sz w:val="22"/>
          <w:szCs w:val="22"/>
        </w:rPr>
        <w:t xml:space="preserve">e </w:t>
      </w:r>
      <w:r w:rsidR="00EA7978">
        <w:rPr>
          <w:rFonts w:asciiTheme="minorHAnsi" w:hAnsiTheme="minorHAnsi" w:cstheme="minorHAnsi"/>
          <w:sz w:val="22"/>
          <w:szCs w:val="22"/>
        </w:rPr>
        <w:t xml:space="preserve">2021/22 </w:t>
      </w:r>
      <w:r w:rsidR="000F7A4D">
        <w:rPr>
          <w:rFonts w:asciiTheme="minorHAnsi" w:hAnsiTheme="minorHAnsi" w:cstheme="minorHAnsi"/>
          <w:sz w:val="22"/>
          <w:szCs w:val="22"/>
        </w:rPr>
        <w:t>a</w:t>
      </w:r>
      <w:r w:rsidR="00856F7F">
        <w:rPr>
          <w:rFonts w:asciiTheme="minorHAnsi" w:hAnsiTheme="minorHAnsi" w:cstheme="minorHAnsi"/>
          <w:sz w:val="22"/>
          <w:szCs w:val="22"/>
        </w:rPr>
        <w:t>ction progress report</w:t>
      </w:r>
      <w:r w:rsidR="000F7A4D">
        <w:rPr>
          <w:rFonts w:asciiTheme="minorHAnsi" w:hAnsiTheme="minorHAnsi" w:cstheme="minorHAnsi"/>
          <w:sz w:val="22"/>
          <w:szCs w:val="22"/>
        </w:rPr>
        <w:t xml:space="preserve"> </w:t>
      </w:r>
      <w:r w:rsidR="00EA7978">
        <w:rPr>
          <w:rFonts w:asciiTheme="minorHAnsi" w:hAnsiTheme="minorHAnsi" w:cstheme="minorHAnsi"/>
          <w:sz w:val="22"/>
          <w:szCs w:val="22"/>
        </w:rPr>
        <w:t xml:space="preserve">uses the performance management processes already structured into the governance of the C&amp;E Action Plan </w:t>
      </w:r>
      <w:r w:rsidRPr="00393C17">
        <w:rPr>
          <w:rFonts w:asciiTheme="minorHAnsi" w:hAnsiTheme="minorHAnsi" w:cstheme="minorHAnsi"/>
          <w:sz w:val="22"/>
          <w:szCs w:val="22"/>
        </w:rPr>
        <w:t>2021/22</w:t>
      </w:r>
      <w:r w:rsidR="00EA7978">
        <w:rPr>
          <w:rFonts w:asciiTheme="minorHAnsi" w:hAnsiTheme="minorHAnsi" w:cstheme="minorHAnsi"/>
          <w:sz w:val="22"/>
          <w:szCs w:val="22"/>
        </w:rPr>
        <w:t>, which are the output from the following:</w:t>
      </w:r>
    </w:p>
    <w:p w14:paraId="2A958EB8" w14:textId="318055DB" w:rsidR="00393C17" w:rsidRDefault="00393C17" w:rsidP="00393C17">
      <w:pPr>
        <w:pStyle w:val="ListParagraph"/>
        <w:numPr>
          <w:ilvl w:val="0"/>
          <w:numId w:val="21"/>
        </w:numPr>
      </w:pPr>
      <w:r>
        <w:t xml:space="preserve">External and internal </w:t>
      </w:r>
      <w:r w:rsidR="005B229D">
        <w:t>audits of the C&amp;E Action Plan in 2021/22</w:t>
      </w:r>
      <w:r w:rsidR="00643F1D">
        <w:t>, these were:</w:t>
      </w:r>
    </w:p>
    <w:p w14:paraId="1789BD23" w14:textId="040DDC25" w:rsidR="005B229D" w:rsidRDefault="005B229D" w:rsidP="005B229D">
      <w:pPr>
        <w:pStyle w:val="ListParagraph"/>
        <w:numPr>
          <w:ilvl w:val="1"/>
          <w:numId w:val="21"/>
        </w:numPr>
      </w:pPr>
      <w:r>
        <w:t>ISO14001 Audit</w:t>
      </w:r>
    </w:p>
    <w:p w14:paraId="22C33A21" w14:textId="609B8D4D" w:rsidR="005B229D" w:rsidRDefault="005B229D" w:rsidP="005B229D">
      <w:pPr>
        <w:pStyle w:val="ListParagraph"/>
        <w:numPr>
          <w:ilvl w:val="1"/>
          <w:numId w:val="21"/>
        </w:numPr>
      </w:pPr>
      <w:r>
        <w:t>DCC C&amp;E Action Plan Audit</w:t>
      </w:r>
    </w:p>
    <w:p w14:paraId="4A88A61A" w14:textId="50D6DB3B" w:rsidR="005B229D" w:rsidRDefault="005B229D" w:rsidP="005B229D">
      <w:pPr>
        <w:pStyle w:val="ListParagraph"/>
        <w:numPr>
          <w:ilvl w:val="1"/>
          <w:numId w:val="21"/>
        </w:numPr>
      </w:pPr>
      <w:r>
        <w:t xml:space="preserve">Climate Emergency UK League Table </w:t>
      </w:r>
    </w:p>
    <w:p w14:paraId="5DA55374" w14:textId="77A2186C" w:rsidR="005B229D" w:rsidRDefault="005B229D" w:rsidP="005B229D">
      <w:pPr>
        <w:pStyle w:val="ListParagraph"/>
        <w:numPr>
          <w:ilvl w:val="0"/>
          <w:numId w:val="21"/>
        </w:numPr>
      </w:pPr>
      <w:r>
        <w:t>The Quarterly Service Action Plan p</w:t>
      </w:r>
      <w:r w:rsidR="007578D6">
        <w:t xml:space="preserve">rogress </w:t>
      </w:r>
      <w:r>
        <w:t xml:space="preserve">feedback </w:t>
      </w:r>
    </w:p>
    <w:p w14:paraId="71D4D759" w14:textId="0BA4C98F" w:rsidR="00B6467C" w:rsidRDefault="005B229D" w:rsidP="002D5F0D">
      <w:pPr>
        <w:pStyle w:val="ListParagraph"/>
        <w:numPr>
          <w:ilvl w:val="0"/>
          <w:numId w:val="21"/>
        </w:numPr>
      </w:pPr>
      <w:r>
        <w:t>The 2021/</w:t>
      </w:r>
      <w:r w:rsidR="00856F7F">
        <w:t>22 Annual</w:t>
      </w:r>
      <w:r>
        <w:t xml:space="preserve"> Carbon Report  </w:t>
      </w:r>
    </w:p>
    <w:p w14:paraId="3C2D7247" w14:textId="3E646A3B" w:rsidR="00EA7978" w:rsidRDefault="00EA7978" w:rsidP="00EA7978">
      <w:r>
        <w:t>The outputs from these three</w:t>
      </w:r>
      <w:r w:rsidR="00D8632A">
        <w:t xml:space="preserve"> </w:t>
      </w:r>
      <w:r w:rsidR="00856F7F">
        <w:t>processes give</w:t>
      </w:r>
      <w:r w:rsidR="00D8632A">
        <w:t xml:space="preserve"> a clear indication of:</w:t>
      </w:r>
    </w:p>
    <w:p w14:paraId="6DEF8CA9" w14:textId="0548D36A" w:rsidR="00D8632A" w:rsidRDefault="00D8632A" w:rsidP="00D8632A">
      <w:pPr>
        <w:pStyle w:val="ListParagraph"/>
        <w:numPr>
          <w:ilvl w:val="0"/>
          <w:numId w:val="38"/>
        </w:numPr>
      </w:pPr>
      <w:r>
        <w:t>The measure of governance that SDDC has around its Climate and Emergency strategies, policies and processes</w:t>
      </w:r>
    </w:p>
    <w:p w14:paraId="55E3496C" w14:textId="6300C949" w:rsidR="00D8632A" w:rsidRDefault="002840A6" w:rsidP="00D8632A">
      <w:pPr>
        <w:pStyle w:val="ListParagraph"/>
        <w:numPr>
          <w:ilvl w:val="0"/>
          <w:numId w:val="38"/>
        </w:numPr>
      </w:pPr>
      <w:r>
        <w:t xml:space="preserve">External </w:t>
      </w:r>
      <w:r w:rsidR="00D8632A">
        <w:t xml:space="preserve">verification of the climate change mitigation and adaption actions that SDDC has selected to deliver its </w:t>
      </w:r>
      <w:r>
        <w:t xml:space="preserve">carbon neutral commitments. </w:t>
      </w:r>
      <w:r w:rsidR="00D8632A">
        <w:t xml:space="preserve"> </w:t>
      </w:r>
    </w:p>
    <w:p w14:paraId="3036D368" w14:textId="1D2B00D9" w:rsidR="002840A6" w:rsidRDefault="002840A6" w:rsidP="00D8632A">
      <w:pPr>
        <w:pStyle w:val="ListParagraph"/>
        <w:numPr>
          <w:ilvl w:val="0"/>
          <w:numId w:val="38"/>
        </w:numPr>
      </w:pPr>
      <w:r>
        <w:t>The annual progress of the actions that SDDC has selected to deliver carbon neutral</w:t>
      </w:r>
    </w:p>
    <w:p w14:paraId="15CC4AD1" w14:textId="4C46D8DB" w:rsidR="002840A6" w:rsidRDefault="002840A6" w:rsidP="00D8632A">
      <w:pPr>
        <w:pStyle w:val="ListParagraph"/>
        <w:numPr>
          <w:ilvl w:val="0"/>
          <w:numId w:val="38"/>
        </w:numPr>
      </w:pPr>
      <w:r>
        <w:t xml:space="preserve">The progress SDDC are making on </w:t>
      </w:r>
      <w:r w:rsidR="00267106">
        <w:t xml:space="preserve">its </w:t>
      </w:r>
      <w:r>
        <w:t xml:space="preserve">carbon neutral roadmap </w:t>
      </w:r>
    </w:p>
    <w:bookmarkEnd w:id="5"/>
    <w:p w14:paraId="29B9F914" w14:textId="1B63F506" w:rsidR="00BB3EA2" w:rsidRDefault="00856F7F" w:rsidP="00BB3EA2">
      <w:pPr>
        <w:pStyle w:val="Heading2"/>
      </w:pPr>
      <w:r>
        <w:t>1</w:t>
      </w:r>
      <w:r w:rsidR="00BB3EA2">
        <w:t>.</w:t>
      </w:r>
      <w:r>
        <w:t>2</w:t>
      </w:r>
      <w:r w:rsidR="00BB3EA2">
        <w:t xml:space="preserve"> </w:t>
      </w:r>
      <w:r w:rsidR="00D35D29">
        <w:t xml:space="preserve">Governance </w:t>
      </w:r>
      <w:r w:rsidR="00D91C0B">
        <w:t xml:space="preserve">Progress </w:t>
      </w:r>
      <w:r w:rsidR="00D35D29">
        <w:t xml:space="preserve">- </w:t>
      </w:r>
      <w:r w:rsidR="002840A6">
        <w:t>Outcomes of External Audits</w:t>
      </w:r>
      <w:r w:rsidR="00D35D29">
        <w:t xml:space="preserve">. </w:t>
      </w:r>
    </w:p>
    <w:p w14:paraId="3A790BF5" w14:textId="31A4E4A2" w:rsidR="00831ADE" w:rsidRDefault="00152C5E" w:rsidP="00AC457D">
      <w:pPr>
        <w:rPr>
          <w:b/>
        </w:rPr>
      </w:pPr>
      <w:r>
        <w:t xml:space="preserve">During the 2021/22 period the SDDC </w:t>
      </w:r>
      <w:r w:rsidR="00BB3EA2">
        <w:t>C&amp;E Action Plan</w:t>
      </w:r>
      <w:r>
        <w:t xml:space="preserve"> was part of three external independent verification processes</w:t>
      </w:r>
      <w:r w:rsidR="00624FE7">
        <w:t xml:space="preserve"> whose outcomes are detailed below. </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696"/>
        <w:gridCol w:w="8040"/>
      </w:tblGrid>
      <w:tr w:rsidR="00535374" w:rsidRPr="00535374" w14:paraId="3FC9FD24" w14:textId="77777777" w:rsidTr="00E173E1">
        <w:trPr>
          <w:trHeight w:val="367"/>
        </w:trPr>
        <w:tc>
          <w:tcPr>
            <w:tcW w:w="1696" w:type="dxa"/>
            <w:shd w:val="clear" w:color="auto" w:fill="A6A6A6" w:themeFill="background1" w:themeFillShade="A6"/>
            <w:vAlign w:val="center"/>
          </w:tcPr>
          <w:p w14:paraId="5DDAC109" w14:textId="34555296" w:rsidR="00535374" w:rsidRPr="00F24755" w:rsidRDefault="00624FE7" w:rsidP="00ED0B8A">
            <w:pPr>
              <w:rPr>
                <w:rFonts w:cstheme="minorHAnsi"/>
                <w:b/>
                <w:bCs/>
                <w:szCs w:val="18"/>
              </w:rPr>
            </w:pPr>
            <w:r w:rsidRPr="00F24755">
              <w:rPr>
                <w:rFonts w:cstheme="minorHAnsi"/>
                <w:b/>
                <w:bCs/>
                <w:szCs w:val="18"/>
              </w:rPr>
              <w:t>Audit 2021/22</w:t>
            </w:r>
          </w:p>
        </w:tc>
        <w:tc>
          <w:tcPr>
            <w:tcW w:w="8040" w:type="dxa"/>
            <w:shd w:val="clear" w:color="auto" w:fill="A6A6A6" w:themeFill="background1" w:themeFillShade="A6"/>
            <w:vAlign w:val="center"/>
          </w:tcPr>
          <w:p w14:paraId="2C2C6FCE" w14:textId="202A247A" w:rsidR="00535374" w:rsidRPr="00F24755" w:rsidRDefault="00BB3EA2" w:rsidP="00352AB7">
            <w:pPr>
              <w:jc w:val="center"/>
              <w:rPr>
                <w:rFonts w:cstheme="minorHAnsi"/>
                <w:b/>
                <w:bCs/>
                <w:szCs w:val="18"/>
              </w:rPr>
            </w:pPr>
            <w:r w:rsidRPr="00F24755">
              <w:rPr>
                <w:rFonts w:cstheme="minorHAnsi"/>
                <w:b/>
                <w:bCs/>
                <w:szCs w:val="18"/>
              </w:rPr>
              <w:t xml:space="preserve">Outcomes </w:t>
            </w:r>
            <w:r w:rsidR="00B22C17" w:rsidRPr="00F24755">
              <w:rPr>
                <w:rFonts w:cstheme="minorHAnsi"/>
                <w:b/>
                <w:bCs/>
                <w:szCs w:val="18"/>
              </w:rPr>
              <w:t>for 2022/23</w:t>
            </w:r>
          </w:p>
        </w:tc>
      </w:tr>
      <w:tr w:rsidR="00535374" w14:paraId="4B131C51" w14:textId="77777777" w:rsidTr="00F24755">
        <w:tc>
          <w:tcPr>
            <w:tcW w:w="1696" w:type="dxa"/>
            <w:vAlign w:val="center"/>
          </w:tcPr>
          <w:p w14:paraId="4301169C" w14:textId="5F81D4FA" w:rsidR="00ED0B8A" w:rsidRPr="002967D8" w:rsidRDefault="002A1821" w:rsidP="00ED0B8A">
            <w:r>
              <w:t>ISO14001</w:t>
            </w:r>
          </w:p>
        </w:tc>
        <w:tc>
          <w:tcPr>
            <w:tcW w:w="8040" w:type="dxa"/>
            <w:vAlign w:val="center"/>
          </w:tcPr>
          <w:p w14:paraId="5A5C8CF1" w14:textId="6590EF69" w:rsidR="00624FE7" w:rsidRDefault="00624FE7" w:rsidP="00ED0B8A">
            <w:r>
              <w:t xml:space="preserve">ISO14001 is the accreditation of SDDC’s Environmental Management System, used as a framework to measure and improve the way SDDC </w:t>
            </w:r>
            <w:r w:rsidR="00352AB7">
              <w:t>use/</w:t>
            </w:r>
            <w:r>
              <w:t xml:space="preserve">dispose of </w:t>
            </w:r>
            <w:r w:rsidR="00352AB7">
              <w:t xml:space="preserve">their </w:t>
            </w:r>
            <w:r>
              <w:t xml:space="preserve">natural resources and reduce </w:t>
            </w:r>
            <w:r w:rsidR="00352AB7">
              <w:t xml:space="preserve">their greenhouse gas emissions.  </w:t>
            </w:r>
          </w:p>
          <w:p w14:paraId="043D7966" w14:textId="77777777" w:rsidR="007079A6" w:rsidRDefault="007079A6" w:rsidP="00ED0B8A"/>
          <w:p w14:paraId="4E55E6F8" w14:textId="4795D6C1" w:rsidR="00ED0B8A" w:rsidRDefault="00B22C17" w:rsidP="00ED0B8A">
            <w:r>
              <w:t xml:space="preserve">The ISO14001 </w:t>
            </w:r>
            <w:r w:rsidR="00762C7E">
              <w:t xml:space="preserve">Audit was passed </w:t>
            </w:r>
            <w:r>
              <w:t xml:space="preserve">with no Climate and Environment Action non-conformities </w:t>
            </w:r>
            <w:r w:rsidR="0082248F">
              <w:t>and two areas received commendations:</w:t>
            </w:r>
          </w:p>
          <w:p w14:paraId="2971E17E" w14:textId="77777777" w:rsidR="0082248F" w:rsidRDefault="0082248F" w:rsidP="0082248F">
            <w:pPr>
              <w:pStyle w:val="ListParagraph"/>
              <w:numPr>
                <w:ilvl w:val="0"/>
                <w:numId w:val="23"/>
              </w:numPr>
            </w:pPr>
            <w:r>
              <w:t xml:space="preserve">The Project Management Approach </w:t>
            </w:r>
            <w:r w:rsidR="0063576C">
              <w:t>to carbon accounting and action delivery</w:t>
            </w:r>
          </w:p>
          <w:p w14:paraId="546BA9AE" w14:textId="49D0134A" w:rsidR="00962C3E" w:rsidRDefault="0063576C" w:rsidP="00962C3E">
            <w:pPr>
              <w:pStyle w:val="ListParagraph"/>
              <w:numPr>
                <w:ilvl w:val="0"/>
                <w:numId w:val="23"/>
              </w:numPr>
            </w:pPr>
            <w:r>
              <w:t xml:space="preserve">The degree of knowledge and understanding shown </w:t>
            </w:r>
            <w:r w:rsidR="00962C3E">
              <w:t>by all Heads of Service</w:t>
            </w:r>
            <w:r w:rsidR="00352AB7">
              <w:t xml:space="preserve"> within the Climate and Environment Action Plan agenda. </w:t>
            </w:r>
          </w:p>
          <w:p w14:paraId="16CE9CCB" w14:textId="77777777" w:rsidR="007079A6" w:rsidRDefault="007079A6" w:rsidP="00B22C17"/>
          <w:p w14:paraId="3F343ACF" w14:textId="4566E0E5" w:rsidR="00B22C17" w:rsidRDefault="00B22C17" w:rsidP="00B22C17">
            <w:r>
              <w:t xml:space="preserve">The </w:t>
            </w:r>
            <w:r w:rsidR="00352AB7">
              <w:t xml:space="preserve">outcome of the ISO14001 Audit verified the Governance and </w:t>
            </w:r>
            <w:r>
              <w:t xml:space="preserve">Project Management </w:t>
            </w:r>
            <w:r w:rsidR="00352AB7">
              <w:t xml:space="preserve">process of the Climate and Environment Action Plan </w:t>
            </w:r>
            <w:r w:rsidR="007079A6">
              <w:t>which will continue without change into 2022/23.</w:t>
            </w:r>
            <w:r>
              <w:t xml:space="preserve"> </w:t>
            </w:r>
          </w:p>
          <w:p w14:paraId="7D373C59" w14:textId="42DD4F33" w:rsidR="00B22C17" w:rsidRPr="002967D8" w:rsidRDefault="00B22C17" w:rsidP="00B22C17"/>
        </w:tc>
      </w:tr>
      <w:tr w:rsidR="00535374" w14:paraId="6552CBEB" w14:textId="77777777" w:rsidTr="00F24755">
        <w:tc>
          <w:tcPr>
            <w:tcW w:w="1696" w:type="dxa"/>
            <w:vAlign w:val="center"/>
          </w:tcPr>
          <w:p w14:paraId="18BC7A85" w14:textId="7BFB6320" w:rsidR="00535374" w:rsidRPr="002967D8" w:rsidRDefault="00E61A5F" w:rsidP="00ED0B8A">
            <w:r>
              <w:t>Central Midlands</w:t>
            </w:r>
            <w:r w:rsidR="002A1821">
              <w:t xml:space="preserve"> Audit</w:t>
            </w:r>
          </w:p>
        </w:tc>
        <w:tc>
          <w:tcPr>
            <w:tcW w:w="8040" w:type="dxa"/>
            <w:vAlign w:val="center"/>
          </w:tcPr>
          <w:p w14:paraId="441C3AE1" w14:textId="783951CE" w:rsidR="007079A6" w:rsidRDefault="00F43C36" w:rsidP="00F91017">
            <w:r>
              <w:t xml:space="preserve">The Central Midland Audit team </w:t>
            </w:r>
            <w:r w:rsidR="00267106">
              <w:t xml:space="preserve">was </w:t>
            </w:r>
            <w:r>
              <w:t xml:space="preserve">commissioned by SDDC to conduct an audit on the Climate and Environment strategy, </w:t>
            </w:r>
            <w:r w:rsidR="007079A6">
              <w:t xml:space="preserve">carbon reporting, </w:t>
            </w:r>
            <w:r>
              <w:t>actions</w:t>
            </w:r>
            <w:r w:rsidR="007079A6">
              <w:t xml:space="preserve"> taken</w:t>
            </w:r>
            <w:r>
              <w:t>, processes</w:t>
            </w:r>
            <w:r w:rsidR="007079A6">
              <w:t xml:space="preserve"> used</w:t>
            </w:r>
            <w:r>
              <w:t xml:space="preserve"> and </w:t>
            </w:r>
            <w:r w:rsidR="007079A6">
              <w:t xml:space="preserve">the overall </w:t>
            </w:r>
            <w:r>
              <w:t>governance</w:t>
            </w:r>
            <w:r w:rsidR="007079A6">
              <w:t xml:space="preserve"> of SDDC’s climate and environment </w:t>
            </w:r>
            <w:r w:rsidR="007079A6">
              <w:lastRenderedPageBreak/>
              <w:t>approach</w:t>
            </w:r>
            <w:r>
              <w:t xml:space="preserve">. A total of 22 controls were evaluated with 19 being deemed adequate or above.  </w:t>
            </w:r>
          </w:p>
          <w:p w14:paraId="3EB2B4C6" w14:textId="633A069A" w:rsidR="00774E5A" w:rsidRDefault="00F43C36" w:rsidP="00F91017">
            <w:r>
              <w:t xml:space="preserve"> </w:t>
            </w:r>
          </w:p>
          <w:p w14:paraId="6B5CFCE4" w14:textId="4A043D80" w:rsidR="005F6A77" w:rsidRDefault="00F43C36" w:rsidP="00F91017">
            <w:r>
              <w:t>T</w:t>
            </w:r>
            <w:r w:rsidR="00A53213">
              <w:t>he Audit concluded that SDDC ha</w:t>
            </w:r>
            <w:r w:rsidR="00267106">
              <w:t>s</w:t>
            </w:r>
            <w:r w:rsidR="00A53213">
              <w:t xml:space="preserve"> a sound system of governance, risk management and </w:t>
            </w:r>
            <w:r w:rsidR="007605E7">
              <w:t>controls existing within the C&amp;E Action Plan and</w:t>
            </w:r>
            <w:r w:rsidR="007079A6">
              <w:t xml:space="preserve"> its </w:t>
            </w:r>
            <w:r w:rsidR="007605E7">
              <w:t>Project Management Programme</w:t>
            </w:r>
            <w:r w:rsidR="00644DE0">
              <w:t>.</w:t>
            </w:r>
            <w:r w:rsidR="005F6A77">
              <w:t xml:space="preserve"> All i</w:t>
            </w:r>
            <w:r w:rsidR="00644DE0">
              <w:t>nternal controls are operating effectively and being constantly</w:t>
            </w:r>
            <w:r w:rsidR="005F6A77">
              <w:t xml:space="preserve"> and consistently</w:t>
            </w:r>
            <w:r w:rsidR="00644DE0">
              <w:t xml:space="preserve"> applied to support the achievement of</w:t>
            </w:r>
            <w:r w:rsidR="002D00A1">
              <w:t xml:space="preserve"> SDDC’s</w:t>
            </w:r>
            <w:r w:rsidR="00644DE0">
              <w:t xml:space="preserve"> objectives </w:t>
            </w:r>
            <w:r w:rsidR="009149CB">
              <w:t xml:space="preserve">in the Climate and Environment </w:t>
            </w:r>
            <w:r w:rsidR="002D00A1">
              <w:t>agenda.</w:t>
            </w:r>
          </w:p>
          <w:p w14:paraId="3D662503" w14:textId="2DC14ABD" w:rsidR="00E33657" w:rsidRDefault="002D00A1" w:rsidP="00F91017">
            <w:r>
              <w:t xml:space="preserve"> </w:t>
            </w:r>
          </w:p>
          <w:p w14:paraId="193FAC32" w14:textId="1FB84679" w:rsidR="00473D31" w:rsidRDefault="00F43C36" w:rsidP="00F91017">
            <w:r>
              <w:t xml:space="preserve">There </w:t>
            </w:r>
            <w:r w:rsidR="005F6A77">
              <w:t>were</w:t>
            </w:r>
            <w:r>
              <w:t xml:space="preserve"> </w:t>
            </w:r>
            <w:r w:rsidR="006312FC">
              <w:t>four</w:t>
            </w:r>
            <w:r w:rsidR="00473D31">
              <w:t xml:space="preserve"> controls identified as low risk</w:t>
            </w:r>
            <w:r>
              <w:t xml:space="preserve">, that should be included in the 2021/22 review to be acted on in 2022/23: </w:t>
            </w:r>
          </w:p>
          <w:p w14:paraId="4D7B2457" w14:textId="77777777" w:rsidR="005F6A77" w:rsidRDefault="005F6A77" w:rsidP="00F91017"/>
          <w:p w14:paraId="082A831A" w14:textId="77777777" w:rsidR="00473D31" w:rsidRDefault="007C3BB2" w:rsidP="007C3BB2">
            <w:pPr>
              <w:pStyle w:val="ListParagraph"/>
              <w:numPr>
                <w:ilvl w:val="0"/>
                <w:numId w:val="22"/>
              </w:numPr>
            </w:pPr>
            <w:r>
              <w:t>Environmental Sustainability should be a standard item on Committee Reports</w:t>
            </w:r>
          </w:p>
          <w:p w14:paraId="2C49277D" w14:textId="4BD65466" w:rsidR="007C3BB2" w:rsidRDefault="00AE6488" w:rsidP="007C3BB2">
            <w:pPr>
              <w:pStyle w:val="ListParagraph"/>
              <w:numPr>
                <w:ilvl w:val="0"/>
                <w:numId w:val="22"/>
              </w:numPr>
            </w:pPr>
            <w:r>
              <w:t xml:space="preserve">Low uptake of Climate and Environmental Training for Councillors </w:t>
            </w:r>
            <w:r w:rsidR="005F6A77">
              <w:t xml:space="preserve">needs to be addressed. </w:t>
            </w:r>
          </w:p>
          <w:p w14:paraId="4D68C3EE" w14:textId="76B3B0FA" w:rsidR="00AE6488" w:rsidRDefault="005F6A77" w:rsidP="007C3BB2">
            <w:pPr>
              <w:pStyle w:val="ListParagraph"/>
              <w:numPr>
                <w:ilvl w:val="0"/>
                <w:numId w:val="22"/>
              </w:numPr>
            </w:pPr>
            <w:r>
              <w:t xml:space="preserve">The </w:t>
            </w:r>
            <w:r w:rsidR="00BB18AB">
              <w:t>Terms of reference for the Corporate Environmental Sustainability Group should be updated</w:t>
            </w:r>
            <w:r w:rsidR="006312FC">
              <w:t>.</w:t>
            </w:r>
          </w:p>
          <w:p w14:paraId="55CEC716" w14:textId="6E8CB926" w:rsidR="00C21F61" w:rsidRDefault="00C21F61" w:rsidP="007C3BB2">
            <w:pPr>
              <w:pStyle w:val="ListParagraph"/>
              <w:numPr>
                <w:ilvl w:val="0"/>
                <w:numId w:val="22"/>
              </w:numPr>
            </w:pPr>
            <w:r>
              <w:t>The</w:t>
            </w:r>
            <w:r w:rsidR="00C61CE3">
              <w:t xml:space="preserve"> formulae in the </w:t>
            </w:r>
            <w:r>
              <w:t xml:space="preserve">Council’s carbon and energy data spreadsheet </w:t>
            </w:r>
            <w:r w:rsidR="00C61CE3">
              <w:t>need annual</w:t>
            </w:r>
            <w:r w:rsidR="00F55012">
              <w:t xml:space="preserve"> formatted checks</w:t>
            </w:r>
            <w:r w:rsidR="005F6A77">
              <w:t xml:space="preserve"> and appropriately protected. </w:t>
            </w:r>
          </w:p>
          <w:p w14:paraId="11B4EF73" w14:textId="05B04189" w:rsidR="00F43C36" w:rsidRPr="002967D8" w:rsidRDefault="00F43C36" w:rsidP="00F43C36"/>
        </w:tc>
      </w:tr>
      <w:tr w:rsidR="00535374" w14:paraId="76573E1C" w14:textId="77777777" w:rsidTr="00F24755">
        <w:tc>
          <w:tcPr>
            <w:tcW w:w="1696" w:type="dxa"/>
            <w:vAlign w:val="center"/>
          </w:tcPr>
          <w:p w14:paraId="381F8222" w14:textId="77777777" w:rsidR="00A828D8" w:rsidRDefault="002A1821" w:rsidP="00ED0B8A">
            <w:r>
              <w:lastRenderedPageBreak/>
              <w:t xml:space="preserve">UK Climate Emergency </w:t>
            </w:r>
          </w:p>
          <w:p w14:paraId="3465D89A" w14:textId="3D027000" w:rsidR="00535374" w:rsidRPr="002967D8" w:rsidRDefault="002A1821" w:rsidP="00ED0B8A">
            <w:r>
              <w:t xml:space="preserve">League </w:t>
            </w:r>
          </w:p>
        </w:tc>
        <w:tc>
          <w:tcPr>
            <w:tcW w:w="8040" w:type="dxa"/>
            <w:vAlign w:val="center"/>
          </w:tcPr>
          <w:p w14:paraId="4E5D037D" w14:textId="28C38238" w:rsidR="005052B1" w:rsidRDefault="009C466C" w:rsidP="00ED0B8A">
            <w:r>
              <w:t xml:space="preserve">Climate Emergency UK </w:t>
            </w:r>
            <w:r w:rsidR="006312FC">
              <w:t xml:space="preserve">is </w:t>
            </w:r>
            <w:r w:rsidR="00B35972">
              <w:t>a</w:t>
            </w:r>
            <w:r w:rsidR="005F6A77">
              <w:t xml:space="preserve"> N</w:t>
            </w:r>
            <w:r w:rsidR="006312FC">
              <w:t>on-Governmental Organisation (N</w:t>
            </w:r>
            <w:r w:rsidR="005F6A77">
              <w:t>GO</w:t>
            </w:r>
            <w:r w:rsidR="006312FC">
              <w:t>)</w:t>
            </w:r>
            <w:r w:rsidR="005F6A77">
              <w:t xml:space="preserve"> set up to </w:t>
            </w:r>
            <w:r>
              <w:t xml:space="preserve">evaluate every published </w:t>
            </w:r>
            <w:r w:rsidR="006312FC">
              <w:t>l</w:t>
            </w:r>
            <w:r>
              <w:t xml:space="preserve">ocal </w:t>
            </w:r>
            <w:r w:rsidR="006312FC">
              <w:t>a</w:t>
            </w:r>
            <w:r>
              <w:t xml:space="preserve">uthority climate change action plan across England, evaluating them on </w:t>
            </w:r>
            <w:r w:rsidR="006312FC">
              <w:t>nine</w:t>
            </w:r>
            <w:r>
              <w:t xml:space="preserve"> specific categories</w:t>
            </w:r>
            <w:r w:rsidR="005052B1">
              <w:t xml:space="preserve"> (governance, actions, commitment, engagement, measurements, co-benefits, diversity and social inclusion, education and biodiversity)</w:t>
            </w:r>
            <w:r>
              <w:t xml:space="preserve">. </w:t>
            </w:r>
          </w:p>
          <w:p w14:paraId="16A69102" w14:textId="77777777" w:rsidR="005052B1" w:rsidRDefault="005052B1" w:rsidP="00ED0B8A"/>
          <w:p w14:paraId="620807AA" w14:textId="2AD90422" w:rsidR="00535374" w:rsidRDefault="005052B1" w:rsidP="00ED0B8A">
            <w:r>
              <w:t>SDDC s</w:t>
            </w:r>
            <w:r w:rsidR="004A39F0">
              <w:t>cored 70% (against an average of 43% for all districts and borough</w:t>
            </w:r>
            <w:r w:rsidR="007E4A08">
              <w:t xml:space="preserve"> councils) in the assessment </w:t>
            </w:r>
            <w:r w:rsidR="00397672">
              <w:t xml:space="preserve">their </w:t>
            </w:r>
            <w:r w:rsidR="007E4A08">
              <w:t>C</w:t>
            </w:r>
            <w:r w:rsidR="00397672">
              <w:t>&amp;E</w:t>
            </w:r>
            <w:r w:rsidR="007E4A08">
              <w:t xml:space="preserve"> Action Plan</w:t>
            </w:r>
            <w:r w:rsidR="00397672">
              <w:t xml:space="preserve"> coming joint 10</w:t>
            </w:r>
            <w:r w:rsidR="00397672" w:rsidRPr="00397672">
              <w:rPr>
                <w:vertAlign w:val="superscript"/>
              </w:rPr>
              <w:t>th</w:t>
            </w:r>
            <w:r w:rsidR="00397672">
              <w:t xml:space="preserve"> district council out of 181</w:t>
            </w:r>
            <w:r w:rsidR="006312FC">
              <w:t xml:space="preserve"> and the top District in the East Midlands</w:t>
            </w:r>
            <w:r w:rsidR="00103BBA">
              <w:t xml:space="preserve">. </w:t>
            </w:r>
            <w:r w:rsidR="00397672">
              <w:t>SDDC scored</w:t>
            </w:r>
            <w:r w:rsidR="00BA12AC">
              <w:t xml:space="preserve"> </w:t>
            </w:r>
            <w:r w:rsidR="00103BBA">
              <w:t>highly in</w:t>
            </w:r>
            <w:r w:rsidR="00BA12AC">
              <w:t xml:space="preserve"> ‘governance, assessing funding, commitment, measurement setting, engagement and communication.’ </w:t>
            </w:r>
          </w:p>
          <w:p w14:paraId="04A8AF64" w14:textId="77777777" w:rsidR="00BA12AC" w:rsidRDefault="00BA12AC" w:rsidP="00ED0B8A"/>
          <w:p w14:paraId="6F3A9619" w14:textId="77777777" w:rsidR="00555419" w:rsidRDefault="00555419" w:rsidP="00ED0B8A">
            <w:r>
              <w:t>There were three</w:t>
            </w:r>
            <w:r w:rsidR="00962AAB">
              <w:t xml:space="preserve"> areas where the scores were lower:</w:t>
            </w:r>
          </w:p>
          <w:p w14:paraId="068ECACE" w14:textId="3708B6E4" w:rsidR="00962AAB" w:rsidRDefault="00E93F97" w:rsidP="00962AAB">
            <w:pPr>
              <w:pStyle w:val="ListParagraph"/>
              <w:numPr>
                <w:ilvl w:val="0"/>
                <w:numId w:val="24"/>
              </w:numPr>
            </w:pPr>
            <w:r>
              <w:t>Detailing the co-benefits of</w:t>
            </w:r>
            <w:r w:rsidR="00BA12AC">
              <w:t xml:space="preserve"> the</w:t>
            </w:r>
            <w:r>
              <w:t xml:space="preserve"> </w:t>
            </w:r>
            <w:r w:rsidR="00473C73">
              <w:t>climate action</w:t>
            </w:r>
            <w:r w:rsidR="00BA12AC">
              <w:t>s</w:t>
            </w:r>
            <w:r w:rsidR="00473C73">
              <w:t xml:space="preserve"> and </w:t>
            </w:r>
            <w:r>
              <w:t>reducing carbon emissions</w:t>
            </w:r>
          </w:p>
          <w:p w14:paraId="12CBD278" w14:textId="35B683EC" w:rsidR="00E93F97" w:rsidRDefault="00E93F97" w:rsidP="00962AAB">
            <w:pPr>
              <w:pStyle w:val="ListParagraph"/>
              <w:numPr>
                <w:ilvl w:val="0"/>
                <w:numId w:val="24"/>
              </w:numPr>
            </w:pPr>
            <w:r>
              <w:t>Diversity and Inclusion</w:t>
            </w:r>
            <w:r w:rsidR="00371B81">
              <w:t xml:space="preserve"> </w:t>
            </w:r>
            <w:r w:rsidR="00117C3C">
              <w:t>– outlining</w:t>
            </w:r>
            <w:r w:rsidR="00C32FD8">
              <w:t xml:space="preserve"> within</w:t>
            </w:r>
            <w:r w:rsidR="00371B81">
              <w:t xml:space="preserve"> the C&amp;E Action Plan</w:t>
            </w:r>
            <w:r w:rsidR="00117C3C">
              <w:t xml:space="preserve"> the parts of the population </w:t>
            </w:r>
            <w:r w:rsidR="00C32FD8">
              <w:t>that will be most impacted by climate change</w:t>
            </w:r>
            <w:r w:rsidR="006779E8">
              <w:t xml:space="preserve"> and how the Council intends to focus resources to support vulnerable communities. </w:t>
            </w:r>
          </w:p>
          <w:p w14:paraId="3D5F127C" w14:textId="4E2BA40E" w:rsidR="00E93F97" w:rsidRDefault="00371B81" w:rsidP="00962AAB">
            <w:pPr>
              <w:pStyle w:val="ListParagraph"/>
              <w:numPr>
                <w:ilvl w:val="0"/>
                <w:numId w:val="24"/>
              </w:numPr>
            </w:pPr>
            <w:r>
              <w:t>Education, skills and training of Climate and Environment</w:t>
            </w:r>
            <w:r w:rsidR="00500F67">
              <w:t xml:space="preserve"> – </w:t>
            </w:r>
            <w:r w:rsidR="00A828D8">
              <w:t xml:space="preserve">especially around the </w:t>
            </w:r>
            <w:r w:rsidR="00500F67">
              <w:t xml:space="preserve">carbon literacy training for councillors </w:t>
            </w:r>
            <w:r w:rsidR="00A828D8">
              <w:t xml:space="preserve">and education </w:t>
            </w:r>
            <w:r w:rsidR="00500F67">
              <w:t>for the public</w:t>
            </w:r>
            <w:r w:rsidR="00A828D8">
              <w:t xml:space="preserve">. </w:t>
            </w:r>
          </w:p>
          <w:p w14:paraId="7CB9935C" w14:textId="14A5F2C4" w:rsidR="00A828D8" w:rsidRPr="002967D8" w:rsidRDefault="00A828D8" w:rsidP="00A828D8">
            <w:pPr>
              <w:pStyle w:val="ListParagraph"/>
            </w:pPr>
          </w:p>
        </w:tc>
      </w:tr>
    </w:tbl>
    <w:p w14:paraId="6BD1C5AC" w14:textId="77777777" w:rsidR="00A828D8" w:rsidRDefault="00A828D8" w:rsidP="00A828D8">
      <w:bookmarkStart w:id="6" w:name="_Toc527462679"/>
    </w:p>
    <w:p w14:paraId="03D41198" w14:textId="65DD8F44" w:rsidR="00F670B9" w:rsidRDefault="00D35D29" w:rsidP="00F670B9">
      <w:pPr>
        <w:pStyle w:val="Heading2"/>
      </w:pPr>
      <w:r>
        <w:t>1</w:t>
      </w:r>
      <w:r w:rsidR="00F670B9">
        <w:t>.</w:t>
      </w:r>
      <w:r>
        <w:t>3</w:t>
      </w:r>
      <w:r w:rsidR="00F670B9">
        <w:t xml:space="preserve"> </w:t>
      </w:r>
      <w:r w:rsidR="00A808DF">
        <w:t>Progress</w:t>
      </w:r>
      <w:r w:rsidR="00F670B9">
        <w:t xml:space="preserve"> of the individual C&amp;E actions </w:t>
      </w:r>
    </w:p>
    <w:p w14:paraId="1E9B371E" w14:textId="4A63395A" w:rsidR="00D35D29" w:rsidRDefault="00F670B9" w:rsidP="00F670B9">
      <w:r>
        <w:t xml:space="preserve">The 55 </w:t>
      </w:r>
      <w:r w:rsidR="00A808DF">
        <w:t xml:space="preserve">C&amp;E </w:t>
      </w:r>
      <w:r>
        <w:t>actions spread across all the SDDC’s Services</w:t>
      </w:r>
      <w:r w:rsidR="00A808DF">
        <w:t xml:space="preserve"> are aligned to </w:t>
      </w:r>
      <w:r>
        <w:t>the</w:t>
      </w:r>
      <w:r w:rsidR="00A808DF">
        <w:t xml:space="preserve"> </w:t>
      </w:r>
      <w:r w:rsidR="00D35D29">
        <w:t xml:space="preserve">Council’s </w:t>
      </w:r>
      <w:r w:rsidR="00A808DF">
        <w:t>A</w:t>
      </w:r>
      <w:r>
        <w:t>nnual Service Plans. The</w:t>
      </w:r>
      <w:r w:rsidR="0043236D">
        <w:t xml:space="preserve"> progress of these </w:t>
      </w:r>
      <w:r w:rsidR="00D35D29">
        <w:t xml:space="preserve">55 </w:t>
      </w:r>
      <w:r w:rsidR="0043236D">
        <w:t>a</w:t>
      </w:r>
      <w:r>
        <w:t xml:space="preserve">ctions </w:t>
      </w:r>
      <w:r w:rsidR="0043236D">
        <w:t>is</w:t>
      </w:r>
      <w:r>
        <w:t xml:space="preserve"> </w:t>
      </w:r>
      <w:r w:rsidR="0043236D">
        <w:t>fe</w:t>
      </w:r>
      <w:r w:rsidR="00D35D29">
        <w:t xml:space="preserve">d </w:t>
      </w:r>
      <w:r w:rsidR="0043236D">
        <w:t xml:space="preserve">back </w:t>
      </w:r>
      <w:r>
        <w:t xml:space="preserve">on a quarterly basis </w:t>
      </w:r>
      <w:r w:rsidR="00D35D29">
        <w:t>and the progress is shown below:</w:t>
      </w:r>
    </w:p>
    <w:p w14:paraId="4369F08B" w14:textId="0D1CF0D1" w:rsidR="00F670B9" w:rsidRDefault="00F670B9" w:rsidP="00F670B9"/>
    <w:p w14:paraId="0E622794" w14:textId="77728FD9" w:rsidR="00F24755" w:rsidRDefault="00F24755" w:rsidP="00F670B9">
      <w:pPr>
        <w:rPr>
          <w:b/>
          <w:bCs/>
          <w:sz w:val="24"/>
          <w:szCs w:val="24"/>
        </w:rPr>
      </w:pPr>
      <w:r>
        <w:rPr>
          <w:b/>
          <w:bCs/>
          <w:sz w:val="24"/>
          <w:szCs w:val="24"/>
        </w:rPr>
        <w:lastRenderedPageBreak/>
        <w:t>P</w:t>
      </w:r>
      <w:r w:rsidR="002A1821" w:rsidRPr="00FB6C8E">
        <w:rPr>
          <w:b/>
          <w:bCs/>
          <w:sz w:val="24"/>
          <w:szCs w:val="24"/>
        </w:rPr>
        <w:t xml:space="preserve">rogress </w:t>
      </w:r>
      <w:r w:rsidR="00FB6C8E" w:rsidRPr="00FB6C8E">
        <w:rPr>
          <w:b/>
          <w:bCs/>
          <w:sz w:val="24"/>
          <w:szCs w:val="24"/>
        </w:rPr>
        <w:t>of action delivery in 2021/22</w:t>
      </w:r>
      <w:r w:rsidR="002A1821" w:rsidRPr="00FB6C8E">
        <w:rPr>
          <w:b/>
          <w:bCs/>
          <w:sz w:val="24"/>
          <w:szCs w:val="24"/>
        </w:rPr>
        <w:t xml:space="preserve">. </w:t>
      </w:r>
    </w:p>
    <w:p w14:paraId="485DA52E" w14:textId="652C585F" w:rsidR="00FB6C8E" w:rsidRPr="00FB6C8E" w:rsidRDefault="00FB6C8E" w:rsidP="00F670B9">
      <w:r w:rsidRPr="00FB6C8E">
        <w:rPr>
          <w:b/>
          <w:bCs/>
          <w:noProof/>
          <w:sz w:val="24"/>
          <w:szCs w:val="24"/>
        </w:rPr>
        <w:drawing>
          <wp:anchor distT="0" distB="0" distL="114300" distR="114300" simplePos="0" relativeHeight="251662336" behindDoc="0" locked="0" layoutInCell="1" allowOverlap="1" wp14:anchorId="5A70B123" wp14:editId="38AACDD7">
            <wp:simplePos x="0" y="0"/>
            <wp:positionH relativeFrom="margin">
              <wp:align>left</wp:align>
            </wp:positionH>
            <wp:positionV relativeFrom="paragraph">
              <wp:posOffset>488315</wp:posOffset>
            </wp:positionV>
            <wp:extent cx="6076950" cy="2838450"/>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t>The</w:t>
      </w:r>
      <w:r w:rsidR="00D35D29">
        <w:t xml:space="preserve"> </w:t>
      </w:r>
      <w:r>
        <w:t xml:space="preserve">progress feedback of all 55 actions </w:t>
      </w:r>
      <w:r w:rsidR="00811652">
        <w:t>is</w:t>
      </w:r>
      <w:r>
        <w:t xml:space="preserve"> evaluated in terms of what stage they are at; completed, in-progress or not started as illustrated below:</w:t>
      </w:r>
    </w:p>
    <w:p w14:paraId="4F3BEE72" w14:textId="0B73BCC8" w:rsidR="00FB6C8E" w:rsidRDefault="00FB6C8E" w:rsidP="00F670B9">
      <w:pPr>
        <w:rPr>
          <w:b/>
          <w:bCs/>
          <w:sz w:val="24"/>
          <w:szCs w:val="24"/>
        </w:rPr>
      </w:pPr>
    </w:p>
    <w:p w14:paraId="7699EB6E" w14:textId="414B07F9" w:rsidR="00126494" w:rsidRDefault="00C675CD" w:rsidP="009F6FB7">
      <w:r>
        <w:t xml:space="preserve">Considering the C&amp;E Action Plan was approved in July 2021, the above chart illustrates the good progress that SDDC Services are making in delivering the </w:t>
      </w:r>
      <w:r w:rsidR="00D35D29">
        <w:t xml:space="preserve">C&amp;E </w:t>
      </w:r>
      <w:r>
        <w:t xml:space="preserve">actions. </w:t>
      </w:r>
    </w:p>
    <w:p w14:paraId="6E1E75A6" w14:textId="2AA7A082" w:rsidR="009F6FB7" w:rsidRPr="009F6FB7" w:rsidRDefault="009F6FB7" w:rsidP="009F6FB7">
      <w:pPr>
        <w:rPr>
          <w:b/>
          <w:bCs/>
          <w:sz w:val="24"/>
          <w:szCs w:val="24"/>
        </w:rPr>
      </w:pPr>
      <w:r>
        <w:rPr>
          <w:b/>
          <w:bCs/>
          <w:sz w:val="24"/>
          <w:szCs w:val="24"/>
        </w:rPr>
        <w:t>Actions completed in 2021/22</w:t>
      </w:r>
    </w:p>
    <w:p w14:paraId="22E7917D" w14:textId="74836C60" w:rsidR="009F6FB7" w:rsidRDefault="00B96F3C" w:rsidP="009F6FB7">
      <w:r>
        <w:t xml:space="preserve">The action progress </w:t>
      </w:r>
      <w:r w:rsidR="00D005CC">
        <w:t xml:space="preserve">report details the </w:t>
      </w:r>
      <w:r>
        <w:t>illustrates th</w:t>
      </w:r>
      <w:r w:rsidR="00D005CC">
        <w:t>e 12 actions that</w:t>
      </w:r>
      <w:r>
        <w:t xml:space="preserve"> have been completed in 2021/22, the success of these is shown below:</w:t>
      </w:r>
      <w:r w:rsidR="009F6FB7">
        <w:t xml:space="preserve"> </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397"/>
        <w:gridCol w:w="6339"/>
      </w:tblGrid>
      <w:tr w:rsidR="009F6FB7" w:rsidRPr="00ED0B8A" w14:paraId="79DFA3D7" w14:textId="77777777" w:rsidTr="00E173E1">
        <w:trPr>
          <w:trHeight w:val="333"/>
        </w:trPr>
        <w:tc>
          <w:tcPr>
            <w:tcW w:w="3397" w:type="dxa"/>
            <w:shd w:val="clear" w:color="auto" w:fill="A6A6A6" w:themeFill="background1" w:themeFillShade="A6"/>
            <w:vAlign w:val="center"/>
          </w:tcPr>
          <w:p w14:paraId="28C5239B" w14:textId="77777777" w:rsidR="009F6FB7" w:rsidRPr="00F24755" w:rsidRDefault="009F6FB7" w:rsidP="00D85D1B">
            <w:pPr>
              <w:rPr>
                <w:rFonts w:cstheme="minorHAnsi"/>
                <w:b/>
                <w:bCs/>
                <w:szCs w:val="18"/>
              </w:rPr>
            </w:pPr>
            <w:r w:rsidRPr="00F24755">
              <w:rPr>
                <w:rFonts w:cstheme="minorHAnsi"/>
                <w:b/>
                <w:bCs/>
                <w:szCs w:val="18"/>
              </w:rPr>
              <w:t xml:space="preserve">Actions </w:t>
            </w:r>
          </w:p>
        </w:tc>
        <w:tc>
          <w:tcPr>
            <w:tcW w:w="6339" w:type="dxa"/>
            <w:shd w:val="clear" w:color="auto" w:fill="A6A6A6" w:themeFill="background1" w:themeFillShade="A6"/>
            <w:vAlign w:val="center"/>
          </w:tcPr>
          <w:p w14:paraId="2DF3B7D1" w14:textId="77777777" w:rsidR="009F6FB7" w:rsidRPr="00F24755" w:rsidRDefault="009F6FB7" w:rsidP="00D85D1B">
            <w:pPr>
              <w:rPr>
                <w:rFonts w:cstheme="minorHAnsi"/>
                <w:b/>
                <w:bCs/>
                <w:szCs w:val="18"/>
              </w:rPr>
            </w:pPr>
            <w:r w:rsidRPr="00F24755">
              <w:rPr>
                <w:rFonts w:cstheme="minorHAnsi"/>
                <w:b/>
                <w:bCs/>
                <w:szCs w:val="18"/>
              </w:rPr>
              <w:t xml:space="preserve">Completed </w:t>
            </w:r>
          </w:p>
        </w:tc>
      </w:tr>
      <w:tr w:rsidR="00C201D6" w:rsidRPr="002967D8" w14:paraId="764DEB94" w14:textId="77777777" w:rsidTr="00D85D1B">
        <w:tc>
          <w:tcPr>
            <w:tcW w:w="3397" w:type="dxa"/>
            <w:vAlign w:val="center"/>
          </w:tcPr>
          <w:p w14:paraId="06AB8D45" w14:textId="459B38E7" w:rsidR="00C201D6" w:rsidRPr="00C201D6" w:rsidRDefault="00C201D6" w:rsidP="00D85D1B">
            <w:pPr>
              <w:rPr>
                <w:b/>
                <w:bCs/>
              </w:rPr>
            </w:pPr>
            <w:r>
              <w:rPr>
                <w:b/>
                <w:bCs/>
              </w:rPr>
              <w:t xml:space="preserve">Buildings and Heating </w:t>
            </w:r>
          </w:p>
        </w:tc>
        <w:tc>
          <w:tcPr>
            <w:tcW w:w="6339" w:type="dxa"/>
            <w:vAlign w:val="center"/>
          </w:tcPr>
          <w:p w14:paraId="7E574DBB" w14:textId="77777777" w:rsidR="00C201D6" w:rsidRDefault="00C201D6" w:rsidP="00D85D1B"/>
        </w:tc>
      </w:tr>
      <w:tr w:rsidR="009F6FB7" w:rsidRPr="002967D8" w14:paraId="14C34565" w14:textId="77777777" w:rsidTr="00D85D1B">
        <w:tc>
          <w:tcPr>
            <w:tcW w:w="3397" w:type="dxa"/>
            <w:vAlign w:val="center"/>
          </w:tcPr>
          <w:p w14:paraId="139D63EC" w14:textId="77777777" w:rsidR="009F6FB7" w:rsidRPr="002967D8" w:rsidRDefault="009F6FB7" w:rsidP="00D85D1B">
            <w:r>
              <w:t>ISP1 – Housing Stock Efficiency Impact Assessments</w:t>
            </w:r>
          </w:p>
        </w:tc>
        <w:tc>
          <w:tcPr>
            <w:tcW w:w="6339" w:type="dxa"/>
            <w:vAlign w:val="center"/>
          </w:tcPr>
          <w:p w14:paraId="180F0F1B" w14:textId="77777777" w:rsidR="009F6FB7" w:rsidRPr="002967D8" w:rsidRDefault="009F6FB7" w:rsidP="00D85D1B">
            <w:r>
              <w:t>Completed by Nottingham City Council and used in the successful SHDF Wave 1 bid for a fabric first retrofit programme.</w:t>
            </w:r>
          </w:p>
        </w:tc>
      </w:tr>
      <w:tr w:rsidR="00992681" w:rsidRPr="002967D8" w14:paraId="647522BB" w14:textId="77777777" w:rsidTr="00D85D1B">
        <w:tc>
          <w:tcPr>
            <w:tcW w:w="3397" w:type="dxa"/>
            <w:vAlign w:val="center"/>
          </w:tcPr>
          <w:p w14:paraId="2249EB37" w14:textId="16DB64E2" w:rsidR="00992681" w:rsidRPr="002967D8" w:rsidRDefault="00992681" w:rsidP="00992681">
            <w:r>
              <w:t>ISP17 – H</w:t>
            </w:r>
            <w:r w:rsidR="00C201D6">
              <w:t xml:space="preserve">ousing </w:t>
            </w:r>
            <w:r>
              <w:t>R</w:t>
            </w:r>
            <w:r w:rsidR="00C201D6">
              <w:t>evenue</w:t>
            </w:r>
            <w:r>
              <w:t xml:space="preserve"> to be part of the decarbonisation funding </w:t>
            </w:r>
          </w:p>
        </w:tc>
        <w:tc>
          <w:tcPr>
            <w:tcW w:w="6339" w:type="dxa"/>
            <w:vAlign w:val="center"/>
          </w:tcPr>
          <w:p w14:paraId="08D16750" w14:textId="3EC6B4B2" w:rsidR="00992681" w:rsidRPr="002967D8" w:rsidRDefault="00992681" w:rsidP="00992681">
            <w:r>
              <w:t>H</w:t>
            </w:r>
            <w:r w:rsidR="00C201D6">
              <w:t xml:space="preserve">ousing Revenue </w:t>
            </w:r>
            <w:r>
              <w:t xml:space="preserve">has been modelled as part of the funding for the delivery of retrofitting a fabric first programme for the Housing Stock. </w:t>
            </w:r>
          </w:p>
        </w:tc>
      </w:tr>
      <w:tr w:rsidR="00C201D6" w:rsidRPr="002967D8" w14:paraId="4B9F1D29" w14:textId="77777777" w:rsidTr="00D85D1B">
        <w:tc>
          <w:tcPr>
            <w:tcW w:w="3397" w:type="dxa"/>
            <w:vAlign w:val="center"/>
          </w:tcPr>
          <w:p w14:paraId="25C7D5AC" w14:textId="12070B94" w:rsidR="00C201D6" w:rsidRDefault="00C201D6" w:rsidP="00C201D6">
            <w:r>
              <w:t>ISP13 – Implement a green lease void programme for housing stock</w:t>
            </w:r>
          </w:p>
        </w:tc>
        <w:tc>
          <w:tcPr>
            <w:tcW w:w="6339" w:type="dxa"/>
            <w:vAlign w:val="center"/>
          </w:tcPr>
          <w:p w14:paraId="7E5CDD34" w14:textId="3353F5D2" w:rsidR="00C201D6" w:rsidRDefault="00C201D6" w:rsidP="00C201D6">
            <w:r>
              <w:t xml:space="preserve">As part of the void process, the energy supplies are switched to Scottish Power tariffs which are 100% renewable </w:t>
            </w:r>
          </w:p>
        </w:tc>
      </w:tr>
      <w:tr w:rsidR="00C201D6" w:rsidRPr="002967D8" w14:paraId="514BB165" w14:textId="77777777" w:rsidTr="00D85D1B">
        <w:tc>
          <w:tcPr>
            <w:tcW w:w="3397" w:type="dxa"/>
            <w:vAlign w:val="center"/>
          </w:tcPr>
          <w:p w14:paraId="77B6EE68" w14:textId="2D5C13E8" w:rsidR="00C201D6" w:rsidRPr="00C201D6" w:rsidRDefault="00C201D6" w:rsidP="00D85D1B">
            <w:pPr>
              <w:rPr>
                <w:b/>
                <w:bCs/>
              </w:rPr>
            </w:pPr>
            <w:r>
              <w:rPr>
                <w:b/>
                <w:bCs/>
              </w:rPr>
              <w:t xml:space="preserve">Biodiversity </w:t>
            </w:r>
          </w:p>
        </w:tc>
        <w:tc>
          <w:tcPr>
            <w:tcW w:w="6339" w:type="dxa"/>
            <w:vAlign w:val="center"/>
          </w:tcPr>
          <w:p w14:paraId="3FE50DB5" w14:textId="77777777" w:rsidR="00C201D6" w:rsidRDefault="00C201D6" w:rsidP="00D85D1B"/>
        </w:tc>
      </w:tr>
      <w:tr w:rsidR="009F6FB7" w:rsidRPr="002967D8" w14:paraId="136937C1" w14:textId="77777777" w:rsidTr="00D85D1B">
        <w:tc>
          <w:tcPr>
            <w:tcW w:w="3397" w:type="dxa"/>
            <w:vAlign w:val="center"/>
          </w:tcPr>
          <w:p w14:paraId="6497F3A7" w14:textId="77777777" w:rsidR="009F6FB7" w:rsidRPr="002967D8" w:rsidRDefault="009F6FB7" w:rsidP="00D85D1B">
            <w:r>
              <w:t>DSP9 – Creation of a SDDC Action Plan for nature</w:t>
            </w:r>
          </w:p>
        </w:tc>
        <w:tc>
          <w:tcPr>
            <w:tcW w:w="6339" w:type="dxa"/>
            <w:vAlign w:val="center"/>
          </w:tcPr>
          <w:p w14:paraId="346B4CAC" w14:textId="77777777" w:rsidR="009F6FB7" w:rsidRPr="002967D8" w:rsidRDefault="009F6FB7" w:rsidP="00D85D1B">
            <w:r>
              <w:t>An SDDC Action Plan for Nature has been developed and approved    to maximise biodiversity and carbon sequestration across South Derbyshire</w:t>
            </w:r>
          </w:p>
        </w:tc>
      </w:tr>
      <w:tr w:rsidR="00C201D6" w:rsidRPr="002967D8" w14:paraId="08FCF3A5" w14:textId="77777777" w:rsidTr="00D85D1B">
        <w:tc>
          <w:tcPr>
            <w:tcW w:w="3397" w:type="dxa"/>
            <w:vAlign w:val="center"/>
          </w:tcPr>
          <w:p w14:paraId="4758CC82" w14:textId="03A01177" w:rsidR="00C201D6" w:rsidRPr="00C201D6" w:rsidRDefault="00C201D6" w:rsidP="00D85D1B">
            <w:pPr>
              <w:rPr>
                <w:b/>
                <w:bCs/>
              </w:rPr>
            </w:pPr>
            <w:r>
              <w:rPr>
                <w:b/>
                <w:bCs/>
              </w:rPr>
              <w:t>Planning and Land use</w:t>
            </w:r>
          </w:p>
        </w:tc>
        <w:tc>
          <w:tcPr>
            <w:tcW w:w="6339" w:type="dxa"/>
            <w:vAlign w:val="center"/>
          </w:tcPr>
          <w:p w14:paraId="34AA6BF9" w14:textId="77777777" w:rsidR="00C201D6" w:rsidRDefault="00C201D6" w:rsidP="00D85D1B"/>
        </w:tc>
      </w:tr>
      <w:tr w:rsidR="009F6FB7" w:rsidRPr="002967D8" w14:paraId="419624DA" w14:textId="77777777" w:rsidTr="00D85D1B">
        <w:tc>
          <w:tcPr>
            <w:tcW w:w="3397" w:type="dxa"/>
            <w:vAlign w:val="center"/>
          </w:tcPr>
          <w:p w14:paraId="468CB5B7" w14:textId="77777777" w:rsidR="009F6FB7" w:rsidRPr="002967D8" w:rsidRDefault="009F6FB7" w:rsidP="00D85D1B">
            <w:r>
              <w:t>DSP6 – Promote rollout of broadband across South Derbyshire</w:t>
            </w:r>
          </w:p>
        </w:tc>
        <w:tc>
          <w:tcPr>
            <w:tcW w:w="6339" w:type="dxa"/>
            <w:vAlign w:val="center"/>
          </w:tcPr>
          <w:p w14:paraId="1F23F5B7" w14:textId="7B30DA1A" w:rsidR="009F6FB7" w:rsidRPr="002967D8" w:rsidRDefault="009F6FB7" w:rsidP="00D85D1B">
            <w:r>
              <w:t>SDDC has supported the promotion of broadband, in 2021/22 South Derbyshire is showing a 97.8</w:t>
            </w:r>
            <w:r w:rsidR="00CA5477">
              <w:t>% superfast</w:t>
            </w:r>
            <w:r>
              <w:t xml:space="preserve"> fibre coverage which is above the UK average and second highest coverage in the Derbyshire CC area. </w:t>
            </w:r>
          </w:p>
        </w:tc>
      </w:tr>
      <w:tr w:rsidR="00C201D6" w14:paraId="5EEFC110" w14:textId="77777777" w:rsidTr="00D85D1B">
        <w:tc>
          <w:tcPr>
            <w:tcW w:w="3397" w:type="dxa"/>
            <w:vAlign w:val="center"/>
          </w:tcPr>
          <w:p w14:paraId="1B6493A1" w14:textId="3A7FAD32" w:rsidR="00C201D6" w:rsidRPr="00C201D6" w:rsidRDefault="00C201D6" w:rsidP="00D85D1B">
            <w:pPr>
              <w:rPr>
                <w:b/>
                <w:bCs/>
              </w:rPr>
            </w:pPr>
            <w:r>
              <w:rPr>
                <w:b/>
                <w:bCs/>
              </w:rPr>
              <w:lastRenderedPageBreak/>
              <w:t xml:space="preserve">Governance and Finance </w:t>
            </w:r>
          </w:p>
        </w:tc>
        <w:tc>
          <w:tcPr>
            <w:tcW w:w="6339" w:type="dxa"/>
            <w:vAlign w:val="center"/>
          </w:tcPr>
          <w:p w14:paraId="7C803EA2" w14:textId="77777777" w:rsidR="00C201D6" w:rsidRDefault="00C201D6" w:rsidP="00D85D1B"/>
        </w:tc>
      </w:tr>
      <w:tr w:rsidR="009F6FB7" w14:paraId="394A92EE" w14:textId="77777777" w:rsidTr="00D85D1B">
        <w:tc>
          <w:tcPr>
            <w:tcW w:w="3397" w:type="dxa"/>
            <w:vAlign w:val="center"/>
          </w:tcPr>
          <w:p w14:paraId="3810A1F4" w14:textId="77777777" w:rsidR="009F6FB7" w:rsidRDefault="009F6FB7" w:rsidP="00D85D1B">
            <w:r>
              <w:t>ISP23 – Review and quantify all SDDC Scope 3 emissions</w:t>
            </w:r>
          </w:p>
        </w:tc>
        <w:tc>
          <w:tcPr>
            <w:tcW w:w="6339" w:type="dxa"/>
            <w:vAlign w:val="center"/>
          </w:tcPr>
          <w:p w14:paraId="7121D08D" w14:textId="77777777" w:rsidR="009F6FB7" w:rsidRDefault="009F6FB7" w:rsidP="00D85D1B">
            <w:r>
              <w:t>SDDC Scope 3 emissions have been quantified and reported on in the Annual Carbon Review 2021/22</w:t>
            </w:r>
          </w:p>
        </w:tc>
      </w:tr>
      <w:tr w:rsidR="00C72295" w14:paraId="2E1F2F84" w14:textId="77777777" w:rsidTr="00D85D1B">
        <w:tc>
          <w:tcPr>
            <w:tcW w:w="3397" w:type="dxa"/>
            <w:vAlign w:val="center"/>
          </w:tcPr>
          <w:p w14:paraId="2D5E762A" w14:textId="682ECFA0" w:rsidR="00C72295" w:rsidRDefault="00C72295" w:rsidP="00C72295">
            <w:r>
              <w:t xml:space="preserve">ISP24 – Annual carbon emission reporting – changed to ongoing. </w:t>
            </w:r>
          </w:p>
        </w:tc>
        <w:tc>
          <w:tcPr>
            <w:tcW w:w="6339" w:type="dxa"/>
            <w:vAlign w:val="center"/>
          </w:tcPr>
          <w:p w14:paraId="1BE7FE9B" w14:textId="66E01187" w:rsidR="00C72295" w:rsidRDefault="00C72295" w:rsidP="00C72295">
            <w:r>
              <w:t xml:space="preserve">The first SDDC Annual Carbon Report for 2021/22 has been developed that collates all Scope 1, 2 and 3 carbon emissions for the Council with recommendations - this should be completed annually </w:t>
            </w:r>
          </w:p>
        </w:tc>
      </w:tr>
      <w:tr w:rsidR="00C201D6" w14:paraId="426CE804" w14:textId="77777777" w:rsidTr="00D85D1B">
        <w:tc>
          <w:tcPr>
            <w:tcW w:w="3397" w:type="dxa"/>
            <w:vAlign w:val="center"/>
          </w:tcPr>
          <w:p w14:paraId="2B2FEB0E" w14:textId="70B17378" w:rsidR="00C201D6" w:rsidRPr="00C201D6" w:rsidRDefault="00C201D6" w:rsidP="00D85D1B">
            <w:pPr>
              <w:rPr>
                <w:b/>
                <w:bCs/>
              </w:rPr>
            </w:pPr>
            <w:r>
              <w:rPr>
                <w:b/>
                <w:bCs/>
              </w:rPr>
              <w:t xml:space="preserve">Transport </w:t>
            </w:r>
          </w:p>
        </w:tc>
        <w:tc>
          <w:tcPr>
            <w:tcW w:w="6339" w:type="dxa"/>
            <w:vAlign w:val="center"/>
          </w:tcPr>
          <w:p w14:paraId="68593C58" w14:textId="77777777" w:rsidR="00C201D6" w:rsidRDefault="00C201D6" w:rsidP="00D85D1B"/>
        </w:tc>
      </w:tr>
      <w:tr w:rsidR="009F6FB7" w14:paraId="69C3585A" w14:textId="77777777" w:rsidTr="00D85D1B">
        <w:tc>
          <w:tcPr>
            <w:tcW w:w="3397" w:type="dxa"/>
            <w:vAlign w:val="center"/>
          </w:tcPr>
          <w:p w14:paraId="7CF388E7" w14:textId="00026F2C" w:rsidR="009F6FB7" w:rsidRDefault="009F6FB7" w:rsidP="00D85D1B">
            <w:r>
              <w:t>ISP</w:t>
            </w:r>
            <w:r w:rsidR="005412B9">
              <w:t>6</w:t>
            </w:r>
            <w:r>
              <w:t xml:space="preserve"> – Commissioning of fleet mileage optimisation software</w:t>
            </w:r>
          </w:p>
        </w:tc>
        <w:tc>
          <w:tcPr>
            <w:tcW w:w="6339" w:type="dxa"/>
            <w:vAlign w:val="center"/>
          </w:tcPr>
          <w:p w14:paraId="25D7FAF5" w14:textId="77777777" w:rsidR="009F6FB7" w:rsidRDefault="009F6FB7" w:rsidP="00D85D1B">
            <w:r>
              <w:t xml:space="preserve">Operational fleet has the software installed </w:t>
            </w:r>
          </w:p>
        </w:tc>
      </w:tr>
      <w:tr w:rsidR="00C72295" w14:paraId="52D6A23A" w14:textId="77777777" w:rsidTr="00D85D1B">
        <w:tc>
          <w:tcPr>
            <w:tcW w:w="3397" w:type="dxa"/>
            <w:vAlign w:val="center"/>
          </w:tcPr>
          <w:p w14:paraId="41C0A9CA" w14:textId="1D92841A" w:rsidR="00C72295" w:rsidRDefault="00C72295" w:rsidP="00C72295">
            <w:r>
              <w:t xml:space="preserve">ISP4 – Delivery of current Staff Travel Plan – changed to ongoing. </w:t>
            </w:r>
          </w:p>
        </w:tc>
        <w:tc>
          <w:tcPr>
            <w:tcW w:w="6339" w:type="dxa"/>
            <w:vAlign w:val="center"/>
          </w:tcPr>
          <w:p w14:paraId="173E79E2" w14:textId="18E29684" w:rsidR="00C72295" w:rsidRDefault="00C72295" w:rsidP="00C72295">
            <w:r>
              <w:t xml:space="preserve">Delivered a 2021/22 Travel Survey that supported the flexible working feasibility and delivered all active travel KPI’s – this should be completed annually. </w:t>
            </w:r>
          </w:p>
        </w:tc>
      </w:tr>
      <w:tr w:rsidR="009F6FB7" w14:paraId="56830D6E" w14:textId="77777777" w:rsidTr="00D85D1B">
        <w:tc>
          <w:tcPr>
            <w:tcW w:w="3397" w:type="dxa"/>
            <w:vAlign w:val="center"/>
          </w:tcPr>
          <w:p w14:paraId="06215C40" w14:textId="2C66776F" w:rsidR="009F6FB7" w:rsidRPr="00E00954" w:rsidRDefault="00E00954" w:rsidP="00D85D1B">
            <w:pPr>
              <w:rPr>
                <w:b/>
                <w:bCs/>
              </w:rPr>
            </w:pPr>
            <w:r>
              <w:rPr>
                <w:b/>
                <w:bCs/>
              </w:rPr>
              <w:t>Partnership/Communication</w:t>
            </w:r>
          </w:p>
        </w:tc>
        <w:tc>
          <w:tcPr>
            <w:tcW w:w="6339" w:type="dxa"/>
            <w:vAlign w:val="center"/>
          </w:tcPr>
          <w:p w14:paraId="48DCB7C6" w14:textId="0398F713" w:rsidR="009F6FB7" w:rsidRDefault="009F6FB7" w:rsidP="00D85D1B"/>
        </w:tc>
      </w:tr>
      <w:tr w:rsidR="009F6FB7" w14:paraId="6B1619DD" w14:textId="77777777" w:rsidTr="00D85D1B">
        <w:tc>
          <w:tcPr>
            <w:tcW w:w="3397" w:type="dxa"/>
            <w:vAlign w:val="center"/>
          </w:tcPr>
          <w:p w14:paraId="7CA72161" w14:textId="77777777" w:rsidR="009F6FB7" w:rsidRDefault="009F6FB7" w:rsidP="00D85D1B">
            <w:r>
              <w:t>ISP26 – Create a hybrid/flexible employee working model post Covid</w:t>
            </w:r>
          </w:p>
        </w:tc>
        <w:tc>
          <w:tcPr>
            <w:tcW w:w="6339" w:type="dxa"/>
            <w:vAlign w:val="center"/>
          </w:tcPr>
          <w:p w14:paraId="32B88013" w14:textId="77777777" w:rsidR="009F6FB7" w:rsidRDefault="009F6FB7" w:rsidP="00D85D1B">
            <w:r>
              <w:t xml:space="preserve">Hybrid working model has been created that aims to be relevant, effective, productive and will lead to carbon emission reductions </w:t>
            </w:r>
          </w:p>
        </w:tc>
      </w:tr>
      <w:tr w:rsidR="00E00954" w14:paraId="1F20EA44" w14:textId="77777777" w:rsidTr="00D85D1B">
        <w:tc>
          <w:tcPr>
            <w:tcW w:w="3397" w:type="dxa"/>
            <w:vAlign w:val="center"/>
          </w:tcPr>
          <w:p w14:paraId="75CBFAD0" w14:textId="4EB873A0" w:rsidR="00E00954" w:rsidRPr="00E00954" w:rsidRDefault="00E00954" w:rsidP="00D85D1B">
            <w:pPr>
              <w:rPr>
                <w:b/>
                <w:bCs/>
              </w:rPr>
            </w:pPr>
            <w:r>
              <w:rPr>
                <w:b/>
                <w:bCs/>
              </w:rPr>
              <w:t>Food and Waste</w:t>
            </w:r>
          </w:p>
        </w:tc>
        <w:tc>
          <w:tcPr>
            <w:tcW w:w="6339" w:type="dxa"/>
            <w:vAlign w:val="center"/>
          </w:tcPr>
          <w:p w14:paraId="2D61E1D1" w14:textId="77777777" w:rsidR="00E00954" w:rsidRDefault="00E00954" w:rsidP="00D85D1B"/>
        </w:tc>
      </w:tr>
      <w:tr w:rsidR="009F6FB7" w14:paraId="45D21776" w14:textId="77777777" w:rsidTr="00D85D1B">
        <w:tc>
          <w:tcPr>
            <w:tcW w:w="3397" w:type="dxa"/>
            <w:vAlign w:val="center"/>
          </w:tcPr>
          <w:p w14:paraId="01E33C57" w14:textId="73EE5F55" w:rsidR="009F6FB7" w:rsidRDefault="009F6FB7" w:rsidP="00D85D1B">
            <w:r>
              <w:t>ISP28</w:t>
            </w:r>
            <w:r w:rsidR="00CA5477">
              <w:t xml:space="preserve"> – Waste collection review</w:t>
            </w:r>
          </w:p>
        </w:tc>
        <w:tc>
          <w:tcPr>
            <w:tcW w:w="6339" w:type="dxa"/>
            <w:vAlign w:val="center"/>
          </w:tcPr>
          <w:p w14:paraId="058E795A" w14:textId="35076EBD" w:rsidR="009F6FB7" w:rsidRDefault="009F6FB7" w:rsidP="00D85D1B">
            <w:r>
              <w:t xml:space="preserve">Waste collection service review </w:t>
            </w:r>
            <w:r w:rsidR="00CA5477">
              <w:t xml:space="preserve">to increase recycling rates and reduce </w:t>
            </w:r>
            <w:r w:rsidR="00E00954">
              <w:t xml:space="preserve">foodstuffs going to </w:t>
            </w:r>
            <w:r w:rsidR="00CA5477">
              <w:t xml:space="preserve">landfill waste disposal. </w:t>
            </w:r>
          </w:p>
        </w:tc>
      </w:tr>
      <w:tr w:rsidR="00C72295" w:rsidRPr="002967D8" w14:paraId="39F50F0C" w14:textId="77777777" w:rsidTr="00C72295">
        <w:tc>
          <w:tcPr>
            <w:tcW w:w="3397" w:type="dxa"/>
            <w:vAlign w:val="center"/>
          </w:tcPr>
          <w:p w14:paraId="1F1D53F0" w14:textId="2CD27A12" w:rsidR="00C72295" w:rsidRPr="00C72295" w:rsidRDefault="00C72295" w:rsidP="00992681">
            <w:pPr>
              <w:rPr>
                <w:b/>
                <w:bCs/>
              </w:rPr>
            </w:pPr>
            <w:r>
              <w:rPr>
                <w:b/>
                <w:bCs/>
              </w:rPr>
              <w:t xml:space="preserve">Renewable Energy </w:t>
            </w:r>
          </w:p>
        </w:tc>
        <w:tc>
          <w:tcPr>
            <w:tcW w:w="6339" w:type="dxa"/>
            <w:vAlign w:val="center"/>
          </w:tcPr>
          <w:p w14:paraId="4329E9A4" w14:textId="77777777" w:rsidR="00C72295" w:rsidRDefault="00C72295" w:rsidP="00992681"/>
        </w:tc>
      </w:tr>
      <w:tr w:rsidR="00992681" w:rsidRPr="002967D8" w14:paraId="5C408482" w14:textId="77777777" w:rsidTr="00C72295">
        <w:tc>
          <w:tcPr>
            <w:tcW w:w="3397" w:type="dxa"/>
            <w:vAlign w:val="center"/>
          </w:tcPr>
          <w:p w14:paraId="466108CF" w14:textId="1C1223B9" w:rsidR="00992681" w:rsidRPr="002967D8" w:rsidRDefault="00992681" w:rsidP="00992681">
            <w:r>
              <w:t>DSP3</w:t>
            </w:r>
            <w:r w:rsidR="007E29EB">
              <w:t xml:space="preserve">- Mine water feasibility </w:t>
            </w:r>
            <w:r w:rsidR="00D8260C">
              <w:t>– changed</w:t>
            </w:r>
            <w:r w:rsidR="007E29EB">
              <w:t xml:space="preserve"> to The Promotion of appropriate renewable energy </w:t>
            </w:r>
            <w:r w:rsidR="00D8260C">
              <w:t xml:space="preserve">sources </w:t>
            </w:r>
            <w:r w:rsidR="007E29EB">
              <w:t xml:space="preserve">across South Derbyshire.  </w:t>
            </w:r>
          </w:p>
        </w:tc>
        <w:tc>
          <w:tcPr>
            <w:tcW w:w="6339" w:type="dxa"/>
            <w:vAlign w:val="center"/>
          </w:tcPr>
          <w:p w14:paraId="139BD4D4" w14:textId="7C66EEBA" w:rsidR="00992681" w:rsidRPr="002967D8" w:rsidRDefault="00992681" w:rsidP="00992681">
            <w:r>
              <w:t>Mine water</w:t>
            </w:r>
            <w:r w:rsidR="007E29EB">
              <w:t xml:space="preserve"> feasibility has been completed and shows that currently the development of mine water as a renewable energy source is too costly to develop</w:t>
            </w:r>
            <w:r w:rsidR="00D8260C">
              <w:t xml:space="preserve">. This action should be changed to promotion of renewable energy sources. </w:t>
            </w:r>
          </w:p>
        </w:tc>
      </w:tr>
    </w:tbl>
    <w:p w14:paraId="015464EF" w14:textId="6BFC99EC" w:rsidR="009F6FB7" w:rsidRDefault="009F6FB7" w:rsidP="00126494"/>
    <w:p w14:paraId="4829F390" w14:textId="01C684C4" w:rsidR="00941AE5" w:rsidRDefault="00941AE5" w:rsidP="00126494">
      <w:pPr>
        <w:rPr>
          <w:b/>
          <w:bCs/>
          <w:sz w:val="24"/>
          <w:szCs w:val="24"/>
        </w:rPr>
      </w:pPr>
      <w:r>
        <w:rPr>
          <w:b/>
          <w:bCs/>
          <w:sz w:val="24"/>
          <w:szCs w:val="24"/>
        </w:rPr>
        <w:t>Successful Actions in 2021/22</w:t>
      </w:r>
    </w:p>
    <w:p w14:paraId="589E27CB" w14:textId="764A2FDE" w:rsidR="009F6FB7" w:rsidRPr="004C3FEB" w:rsidRDefault="00941AE5" w:rsidP="00126494">
      <w:r>
        <w:t>There are a further 1</w:t>
      </w:r>
      <w:r w:rsidR="005D19EC">
        <w:t>8</w:t>
      </w:r>
      <w:r>
        <w:t xml:space="preserve"> actions that although not completed have shown real progress and success in 2021/22 either by showcasing SDDC’s ability to innovate or by delivering significant reduction in carbon emissions. These successful actions are shown below: </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162"/>
        <w:gridCol w:w="6574"/>
      </w:tblGrid>
      <w:tr w:rsidR="00126494" w:rsidRPr="00ED0B8A" w14:paraId="40EACA7B" w14:textId="77777777" w:rsidTr="00D005CC">
        <w:trPr>
          <w:trHeight w:val="419"/>
        </w:trPr>
        <w:tc>
          <w:tcPr>
            <w:tcW w:w="3162" w:type="dxa"/>
            <w:shd w:val="clear" w:color="auto" w:fill="A6A6A6" w:themeFill="background1" w:themeFillShade="A6"/>
            <w:vAlign w:val="center"/>
          </w:tcPr>
          <w:p w14:paraId="6A281BD6" w14:textId="77777777" w:rsidR="00126494" w:rsidRPr="00F24755" w:rsidRDefault="00126494" w:rsidP="00AB4A7E">
            <w:pPr>
              <w:rPr>
                <w:rFonts w:cstheme="minorHAnsi"/>
                <w:b/>
                <w:bCs/>
                <w:szCs w:val="18"/>
              </w:rPr>
            </w:pPr>
            <w:r w:rsidRPr="00F24755">
              <w:rPr>
                <w:rFonts w:cstheme="minorHAnsi"/>
                <w:b/>
                <w:bCs/>
                <w:szCs w:val="18"/>
              </w:rPr>
              <w:t>Actions</w:t>
            </w:r>
          </w:p>
        </w:tc>
        <w:tc>
          <w:tcPr>
            <w:tcW w:w="6574" w:type="dxa"/>
            <w:shd w:val="clear" w:color="auto" w:fill="A6A6A6" w:themeFill="background1" w:themeFillShade="A6"/>
            <w:vAlign w:val="center"/>
          </w:tcPr>
          <w:p w14:paraId="1FC0C24D" w14:textId="38A8B834" w:rsidR="00126494" w:rsidRPr="00F24755" w:rsidRDefault="00126494" w:rsidP="00AB4A7E">
            <w:pPr>
              <w:rPr>
                <w:rFonts w:cstheme="minorHAnsi"/>
                <w:b/>
                <w:bCs/>
                <w:szCs w:val="18"/>
              </w:rPr>
            </w:pPr>
            <w:r w:rsidRPr="00F24755">
              <w:rPr>
                <w:rFonts w:cstheme="minorHAnsi"/>
                <w:b/>
                <w:bCs/>
                <w:szCs w:val="18"/>
              </w:rPr>
              <w:t>Success</w:t>
            </w:r>
          </w:p>
        </w:tc>
      </w:tr>
      <w:tr w:rsidR="00EF6B0D" w:rsidRPr="002967D8" w14:paraId="5BD43F77" w14:textId="77777777" w:rsidTr="00D005CC">
        <w:tc>
          <w:tcPr>
            <w:tcW w:w="3162" w:type="dxa"/>
            <w:vAlign w:val="center"/>
          </w:tcPr>
          <w:p w14:paraId="64B72DA1" w14:textId="7BA179DD" w:rsidR="00EF6B0D" w:rsidRPr="00EF6B0D" w:rsidRDefault="00EF6B0D" w:rsidP="00AB4A7E">
            <w:pPr>
              <w:rPr>
                <w:b/>
                <w:bCs/>
              </w:rPr>
            </w:pPr>
            <w:r w:rsidRPr="00EF6B0D">
              <w:rPr>
                <w:b/>
                <w:bCs/>
              </w:rPr>
              <w:t xml:space="preserve">Transport </w:t>
            </w:r>
          </w:p>
        </w:tc>
        <w:tc>
          <w:tcPr>
            <w:tcW w:w="6574" w:type="dxa"/>
            <w:vAlign w:val="center"/>
          </w:tcPr>
          <w:p w14:paraId="625E6EF9" w14:textId="77777777" w:rsidR="00EF6B0D" w:rsidRDefault="00EF6B0D" w:rsidP="00AB4A7E"/>
        </w:tc>
      </w:tr>
      <w:tr w:rsidR="00EF6B0D" w:rsidRPr="002967D8" w14:paraId="35B8AC3D" w14:textId="77777777" w:rsidTr="00D005CC">
        <w:tc>
          <w:tcPr>
            <w:tcW w:w="3162" w:type="dxa"/>
            <w:vAlign w:val="center"/>
          </w:tcPr>
          <w:p w14:paraId="56128311" w14:textId="68949A37" w:rsidR="00EF6B0D" w:rsidRDefault="00EF6B0D" w:rsidP="00EF6B0D">
            <w:r>
              <w:t>DSP5 – Public EV Infrastructure expansion</w:t>
            </w:r>
          </w:p>
        </w:tc>
        <w:tc>
          <w:tcPr>
            <w:tcW w:w="6574" w:type="dxa"/>
            <w:vAlign w:val="center"/>
          </w:tcPr>
          <w:p w14:paraId="1F3B0196" w14:textId="41755061" w:rsidR="00EF6B0D" w:rsidRDefault="00EF6B0D" w:rsidP="00EF6B0D">
            <w:r>
              <w:t xml:space="preserve">In 2021/22 SDDC now have installed 30 EV charge points in </w:t>
            </w:r>
            <w:r w:rsidR="006312FC">
              <w:t>four</w:t>
            </w:r>
            <w:r w:rsidR="009A7EB2">
              <w:t xml:space="preserve"> </w:t>
            </w:r>
            <w:r>
              <w:t xml:space="preserve">car parks across South Derbyshire with funding for an additional 16 charge points in </w:t>
            </w:r>
            <w:r w:rsidR="00182146">
              <w:t>two</w:t>
            </w:r>
            <w:r>
              <w:t xml:space="preserve"> more car parks </w:t>
            </w:r>
          </w:p>
        </w:tc>
      </w:tr>
      <w:tr w:rsidR="000D3D24" w:rsidRPr="002967D8" w14:paraId="3CA0C703" w14:textId="77777777" w:rsidTr="00D005CC">
        <w:tc>
          <w:tcPr>
            <w:tcW w:w="3162" w:type="dxa"/>
            <w:vAlign w:val="center"/>
          </w:tcPr>
          <w:p w14:paraId="1011ABD0" w14:textId="779D47E8" w:rsidR="000D3D24" w:rsidRDefault="000D3D24" w:rsidP="000D3D24">
            <w:r>
              <w:t>ISP5 – Review of fleet procurement to embed low/zero carbon vehicles</w:t>
            </w:r>
          </w:p>
        </w:tc>
        <w:tc>
          <w:tcPr>
            <w:tcW w:w="6574" w:type="dxa"/>
            <w:vAlign w:val="center"/>
          </w:tcPr>
          <w:p w14:paraId="10F9077B" w14:textId="4BBDE2E5" w:rsidR="000D3D24" w:rsidRDefault="000D3D24" w:rsidP="000D3D24">
            <w:r>
              <w:t>In 2021/22 SDDC purchased its first fully electric utility vehicle for its Rosliston Centre and hired a fully electric car for the Covid Marshal Team.</w:t>
            </w:r>
          </w:p>
        </w:tc>
      </w:tr>
      <w:tr w:rsidR="00EF6B0D" w:rsidRPr="002967D8" w14:paraId="4C774CBB" w14:textId="77777777" w:rsidTr="00D005CC">
        <w:tc>
          <w:tcPr>
            <w:tcW w:w="3162" w:type="dxa"/>
            <w:vAlign w:val="center"/>
          </w:tcPr>
          <w:p w14:paraId="435DAC89" w14:textId="1ADB42BB" w:rsidR="00EF6B0D" w:rsidRPr="00EF6B0D" w:rsidRDefault="00EF6B0D" w:rsidP="00AB4A7E">
            <w:pPr>
              <w:rPr>
                <w:b/>
                <w:bCs/>
              </w:rPr>
            </w:pPr>
            <w:r>
              <w:rPr>
                <w:b/>
                <w:bCs/>
              </w:rPr>
              <w:t>Building</w:t>
            </w:r>
            <w:r w:rsidR="00D005CC">
              <w:rPr>
                <w:b/>
                <w:bCs/>
              </w:rPr>
              <w:t xml:space="preserve">s and Heating </w:t>
            </w:r>
          </w:p>
        </w:tc>
        <w:tc>
          <w:tcPr>
            <w:tcW w:w="6574" w:type="dxa"/>
            <w:vAlign w:val="center"/>
          </w:tcPr>
          <w:p w14:paraId="7BB0E612" w14:textId="77777777" w:rsidR="00EF6B0D" w:rsidRDefault="00EF6B0D" w:rsidP="00AB4A7E"/>
        </w:tc>
      </w:tr>
      <w:tr w:rsidR="00126494" w:rsidRPr="002967D8" w14:paraId="57953C59" w14:textId="77777777" w:rsidTr="00D005CC">
        <w:tc>
          <w:tcPr>
            <w:tcW w:w="3162" w:type="dxa"/>
            <w:vAlign w:val="center"/>
          </w:tcPr>
          <w:p w14:paraId="0A66A79B" w14:textId="77777777" w:rsidR="00126494" w:rsidRPr="002967D8" w:rsidRDefault="00126494" w:rsidP="00AB4A7E">
            <w:r>
              <w:t xml:space="preserve">ISP12 – ongoing programme to improve F Gas efficiency </w:t>
            </w:r>
          </w:p>
        </w:tc>
        <w:tc>
          <w:tcPr>
            <w:tcW w:w="6574" w:type="dxa"/>
            <w:vAlign w:val="center"/>
          </w:tcPr>
          <w:p w14:paraId="1F388D66" w14:textId="77777777" w:rsidR="00126494" w:rsidRPr="002967D8" w:rsidRDefault="00126494" w:rsidP="00AB4A7E">
            <w:r>
              <w:t xml:space="preserve">F Gas emissions have reduced by 44% (216 tCO2e) from the 2018/19 baseline emission level to the 2021/22 level </w:t>
            </w:r>
          </w:p>
        </w:tc>
      </w:tr>
      <w:tr w:rsidR="00C302F9" w:rsidRPr="002967D8" w14:paraId="5855A379" w14:textId="77777777" w:rsidTr="00D005CC">
        <w:tc>
          <w:tcPr>
            <w:tcW w:w="3162" w:type="dxa"/>
            <w:vAlign w:val="center"/>
          </w:tcPr>
          <w:p w14:paraId="555342D6" w14:textId="4A4F8524" w:rsidR="00C302F9" w:rsidRDefault="00C302F9" w:rsidP="00AB4A7E">
            <w:r>
              <w:t>T8 – programme to decarbonise worst performing housing stock</w:t>
            </w:r>
          </w:p>
        </w:tc>
        <w:tc>
          <w:tcPr>
            <w:tcW w:w="6574" w:type="dxa"/>
            <w:vAlign w:val="center"/>
          </w:tcPr>
          <w:p w14:paraId="7637DE3C" w14:textId="5F0C6E97" w:rsidR="00C302F9" w:rsidRDefault="00FF6C50" w:rsidP="00AB4A7E">
            <w:r>
              <w:t xml:space="preserve">SHDF Wave 1 funding has been sourced to retrofit 110 sheltered bungalow to improve their EPC ratings to C or above and reduce tenants energy bills. </w:t>
            </w:r>
            <w:r w:rsidR="000A5365">
              <w:t>This programme, when complete is estimated to reduce carbon emissions by 227 tCO2e per year</w:t>
            </w:r>
          </w:p>
        </w:tc>
      </w:tr>
      <w:tr w:rsidR="00FF6C50" w:rsidRPr="002967D8" w14:paraId="2365138B" w14:textId="77777777" w:rsidTr="00D005CC">
        <w:tc>
          <w:tcPr>
            <w:tcW w:w="3162" w:type="dxa"/>
            <w:vAlign w:val="center"/>
          </w:tcPr>
          <w:p w14:paraId="4DB75A4E" w14:textId="18632789" w:rsidR="00FF6C50" w:rsidRDefault="00FF6C50" w:rsidP="00AB4A7E">
            <w:r>
              <w:t xml:space="preserve">DSP4 – programme to improve energy efficiency of private and tenanted houses </w:t>
            </w:r>
          </w:p>
        </w:tc>
        <w:tc>
          <w:tcPr>
            <w:tcW w:w="6574" w:type="dxa"/>
            <w:vAlign w:val="center"/>
          </w:tcPr>
          <w:p w14:paraId="0E1053A2" w14:textId="0B4F97FE" w:rsidR="00FF6C50" w:rsidRDefault="00FF6C50" w:rsidP="0031286A">
            <w:r>
              <w:t>In</w:t>
            </w:r>
            <w:r w:rsidR="0031286A">
              <w:t xml:space="preserve"> phase 1 of this programme, 56 properties have had measures to increase their energy efficiency and a further 75 properties are programmed to be completed. </w:t>
            </w:r>
            <w:r w:rsidR="000A5365">
              <w:t xml:space="preserve">On current numbers of houses </w:t>
            </w:r>
            <w:r w:rsidR="000A5365">
              <w:lastRenderedPageBreak/>
              <w:t xml:space="preserve">being decarbonised, this programme is estimated to reduce carbon emissions by </w:t>
            </w:r>
            <w:r w:rsidR="00395E67">
              <w:t>278 tCO</w:t>
            </w:r>
            <w:r w:rsidR="000A5365">
              <w:t xml:space="preserve">2e per year. </w:t>
            </w:r>
            <w:r>
              <w:t xml:space="preserve"> </w:t>
            </w:r>
          </w:p>
        </w:tc>
      </w:tr>
      <w:tr w:rsidR="0031286A" w:rsidRPr="002967D8" w14:paraId="2761F3E4" w14:textId="77777777" w:rsidTr="00D005CC">
        <w:tc>
          <w:tcPr>
            <w:tcW w:w="3162" w:type="dxa"/>
            <w:vAlign w:val="center"/>
          </w:tcPr>
          <w:p w14:paraId="0C0A81C3" w14:textId="4C4E0C54" w:rsidR="0031286A" w:rsidRDefault="0031286A" w:rsidP="00AB4A7E">
            <w:r>
              <w:lastRenderedPageBreak/>
              <w:t>DSP</w:t>
            </w:r>
            <w:r w:rsidR="00395E67">
              <w:t xml:space="preserve">2 – energy efficiency regulatory enforcement of rented properties </w:t>
            </w:r>
          </w:p>
        </w:tc>
        <w:tc>
          <w:tcPr>
            <w:tcW w:w="6574" w:type="dxa"/>
            <w:vAlign w:val="center"/>
          </w:tcPr>
          <w:p w14:paraId="0A20CCEA" w14:textId="5ED74E9B" w:rsidR="0031286A" w:rsidRDefault="00395E67" w:rsidP="0031286A">
            <w:r>
              <w:t xml:space="preserve">130 compliance notices have been issued to private landlords </w:t>
            </w:r>
          </w:p>
        </w:tc>
      </w:tr>
      <w:tr w:rsidR="007573FD" w:rsidRPr="002967D8" w14:paraId="6A771180" w14:textId="77777777" w:rsidTr="00D005CC">
        <w:tc>
          <w:tcPr>
            <w:tcW w:w="3162" w:type="dxa"/>
            <w:vAlign w:val="center"/>
          </w:tcPr>
          <w:p w14:paraId="7837B39C" w14:textId="5C0C6BDE" w:rsidR="007573FD" w:rsidRPr="007573FD" w:rsidRDefault="007573FD" w:rsidP="00AB4A7E">
            <w:pPr>
              <w:rPr>
                <w:b/>
                <w:bCs/>
              </w:rPr>
            </w:pPr>
            <w:r>
              <w:rPr>
                <w:b/>
                <w:bCs/>
              </w:rPr>
              <w:t>Biodiversity</w:t>
            </w:r>
          </w:p>
        </w:tc>
        <w:tc>
          <w:tcPr>
            <w:tcW w:w="6574" w:type="dxa"/>
            <w:vAlign w:val="center"/>
          </w:tcPr>
          <w:p w14:paraId="0BF2536C" w14:textId="77777777" w:rsidR="007573FD" w:rsidRDefault="007573FD" w:rsidP="00AB4A7E"/>
        </w:tc>
      </w:tr>
      <w:tr w:rsidR="00126494" w:rsidRPr="002967D8" w14:paraId="492209B5" w14:textId="77777777" w:rsidTr="00D005CC">
        <w:tc>
          <w:tcPr>
            <w:tcW w:w="3162" w:type="dxa"/>
            <w:vAlign w:val="center"/>
          </w:tcPr>
          <w:p w14:paraId="13390850" w14:textId="77777777" w:rsidR="00126494" w:rsidRPr="002967D8" w:rsidRDefault="00126494" w:rsidP="00AB4A7E">
            <w:r>
              <w:t>ISP21 – Altering grounds maintenance practices to maximise biodiversity gain</w:t>
            </w:r>
          </w:p>
        </w:tc>
        <w:tc>
          <w:tcPr>
            <w:tcW w:w="6574" w:type="dxa"/>
            <w:vAlign w:val="center"/>
          </w:tcPr>
          <w:p w14:paraId="0E00A0B5" w14:textId="03D71169" w:rsidR="00126494" w:rsidRPr="002967D8" w:rsidRDefault="00182146" w:rsidP="00AB4A7E">
            <w:r>
              <w:t>In addition to the verge mowing trials approved in 2021, c</w:t>
            </w:r>
            <w:r w:rsidR="00126494">
              <w:t xml:space="preserve">ertain green space areas </w:t>
            </w:r>
            <w:r>
              <w:t>were</w:t>
            </w:r>
            <w:r w:rsidR="00126494">
              <w:t xml:space="preserve"> designated as ‘no mow’ areas </w:t>
            </w:r>
            <w:r>
              <w:t xml:space="preserve">in late Spring, early summer </w:t>
            </w:r>
            <w:r w:rsidR="00126494">
              <w:t>where either limited or no mowing regimes have been launched</w:t>
            </w:r>
            <w:r>
              <w:t xml:space="preserve">.  The results of this trial will be </w:t>
            </w:r>
            <w:r w:rsidR="00B35972">
              <w:t>reviewed,</w:t>
            </w:r>
            <w:r>
              <w:t xml:space="preserve"> and lessons learned for implementation in the future.</w:t>
            </w:r>
          </w:p>
        </w:tc>
      </w:tr>
      <w:tr w:rsidR="00126494" w:rsidRPr="002967D8" w14:paraId="64EC1095" w14:textId="77777777" w:rsidTr="00D005CC">
        <w:tc>
          <w:tcPr>
            <w:tcW w:w="3162" w:type="dxa"/>
            <w:vAlign w:val="center"/>
          </w:tcPr>
          <w:p w14:paraId="39DB494F" w14:textId="77777777" w:rsidR="00126494" w:rsidRPr="002967D8" w:rsidRDefault="00126494" w:rsidP="00AB4A7E">
            <w:r>
              <w:t xml:space="preserve">DSP8 – Utilise all free tree planting schemes </w:t>
            </w:r>
          </w:p>
        </w:tc>
        <w:tc>
          <w:tcPr>
            <w:tcW w:w="6574" w:type="dxa"/>
            <w:vAlign w:val="center"/>
          </w:tcPr>
          <w:p w14:paraId="2C982C66" w14:textId="6CB558DF" w:rsidR="00126494" w:rsidRPr="002967D8" w:rsidRDefault="00126494" w:rsidP="00AB4A7E">
            <w:r>
              <w:t>In 2021/22</w:t>
            </w:r>
            <w:r w:rsidR="00182146">
              <w:t>,</w:t>
            </w:r>
            <w:r>
              <w:t xml:space="preserve"> SDDC distributed a total of 887 trees that have been planted by community groups, residents and schools. SDDC have planted a further 1,320 tree whips as part of the Jubilee meadow hedgerow. </w:t>
            </w:r>
          </w:p>
        </w:tc>
      </w:tr>
      <w:tr w:rsidR="007573FD" w:rsidRPr="002967D8" w14:paraId="0B0CEB55" w14:textId="77777777" w:rsidTr="00D005CC">
        <w:tc>
          <w:tcPr>
            <w:tcW w:w="3162" w:type="dxa"/>
            <w:vAlign w:val="center"/>
          </w:tcPr>
          <w:p w14:paraId="214F2944" w14:textId="785ED3E7" w:rsidR="007573FD" w:rsidRPr="007573FD" w:rsidRDefault="00D005CC" w:rsidP="00AB4A7E">
            <w:pPr>
              <w:rPr>
                <w:b/>
                <w:bCs/>
              </w:rPr>
            </w:pPr>
            <w:r>
              <w:rPr>
                <w:b/>
                <w:bCs/>
              </w:rPr>
              <w:t>Partnership/Communication</w:t>
            </w:r>
          </w:p>
        </w:tc>
        <w:tc>
          <w:tcPr>
            <w:tcW w:w="6574" w:type="dxa"/>
            <w:vAlign w:val="center"/>
          </w:tcPr>
          <w:p w14:paraId="74EEDFCF" w14:textId="77777777" w:rsidR="007573FD" w:rsidRDefault="007573FD" w:rsidP="00AB4A7E"/>
        </w:tc>
      </w:tr>
      <w:tr w:rsidR="00126494" w:rsidRPr="002967D8" w14:paraId="03BBE759" w14:textId="77777777" w:rsidTr="00D005CC">
        <w:tc>
          <w:tcPr>
            <w:tcW w:w="3162" w:type="dxa"/>
            <w:vAlign w:val="center"/>
          </w:tcPr>
          <w:p w14:paraId="4F450190" w14:textId="77777777" w:rsidR="00126494" w:rsidRPr="002967D8" w:rsidRDefault="00126494" w:rsidP="00AB4A7E">
            <w:r>
              <w:t>ISP19 – Engage with local businesses to support carbon emission reduction</w:t>
            </w:r>
          </w:p>
        </w:tc>
        <w:tc>
          <w:tcPr>
            <w:tcW w:w="6574" w:type="dxa"/>
            <w:vAlign w:val="center"/>
          </w:tcPr>
          <w:p w14:paraId="2559DE8F" w14:textId="407C25C4" w:rsidR="00126494" w:rsidRPr="002967D8" w:rsidRDefault="00126494" w:rsidP="00AB4A7E">
            <w:r>
              <w:t>In 2021/22</w:t>
            </w:r>
            <w:r w:rsidR="00182146">
              <w:t>,</w:t>
            </w:r>
            <w:r>
              <w:t xml:space="preserve"> SDDC supported </w:t>
            </w:r>
            <w:r w:rsidR="00182146">
              <w:t>two</w:t>
            </w:r>
            <w:r>
              <w:t xml:space="preserve"> small local business win funding to install Solar PV installations and engage with 30 plus businesses to provide decarbonisation expertise </w:t>
            </w:r>
          </w:p>
        </w:tc>
      </w:tr>
      <w:tr w:rsidR="00126494" w:rsidRPr="002967D8" w14:paraId="1479BF1C" w14:textId="77777777" w:rsidTr="00D005CC">
        <w:tc>
          <w:tcPr>
            <w:tcW w:w="3162" w:type="dxa"/>
            <w:vAlign w:val="center"/>
          </w:tcPr>
          <w:p w14:paraId="5AA6FB2D" w14:textId="77777777" w:rsidR="00126494" w:rsidRPr="002967D8" w:rsidRDefault="00126494" w:rsidP="00AB4A7E">
            <w:r>
              <w:t xml:space="preserve">DSP13 – Promoting sustainable travel plans to support job creation </w:t>
            </w:r>
          </w:p>
        </w:tc>
        <w:tc>
          <w:tcPr>
            <w:tcW w:w="6574" w:type="dxa"/>
            <w:vAlign w:val="center"/>
          </w:tcPr>
          <w:p w14:paraId="52FECFE1" w14:textId="0727A19C" w:rsidR="00126494" w:rsidRPr="002967D8" w:rsidRDefault="00126494" w:rsidP="00AB4A7E">
            <w:r>
              <w:t xml:space="preserve">SDDC supports a bus link from Swadlincote and </w:t>
            </w:r>
            <w:r w:rsidR="007573FD">
              <w:t>Melbourne through</w:t>
            </w:r>
            <w:r>
              <w:t xml:space="preserve"> to the East Midlands Enterprise Gateway to meet the needs of employers and their staff </w:t>
            </w:r>
          </w:p>
        </w:tc>
      </w:tr>
      <w:tr w:rsidR="00126494" w:rsidRPr="002967D8" w14:paraId="635AD3B0" w14:textId="77777777" w:rsidTr="00D005CC">
        <w:tc>
          <w:tcPr>
            <w:tcW w:w="3162" w:type="dxa"/>
            <w:vAlign w:val="center"/>
          </w:tcPr>
          <w:p w14:paraId="1DA55CE1" w14:textId="77777777" w:rsidR="00126494" w:rsidRDefault="00126494" w:rsidP="00AB4A7E">
            <w:r>
              <w:t>ISP18 – Ongoing Environmental Training</w:t>
            </w:r>
          </w:p>
        </w:tc>
        <w:tc>
          <w:tcPr>
            <w:tcW w:w="6574" w:type="dxa"/>
            <w:vAlign w:val="center"/>
          </w:tcPr>
          <w:p w14:paraId="6BE8F70E" w14:textId="75C1A82A" w:rsidR="00126494" w:rsidRDefault="00126494" w:rsidP="00AB4A7E">
            <w:r>
              <w:t xml:space="preserve">This has been extended to </w:t>
            </w:r>
            <w:r w:rsidR="00182146">
              <w:t>eight</w:t>
            </w:r>
            <w:r>
              <w:t xml:space="preserve"> Parish Councils in 2021/22, with 22 parish members accepting an invitation for carbon literacy training that was co-ordinated by SDDC </w:t>
            </w:r>
          </w:p>
        </w:tc>
      </w:tr>
      <w:tr w:rsidR="000D3D24" w:rsidRPr="002967D8" w14:paraId="23D7D1EF" w14:textId="77777777" w:rsidTr="00D005CC">
        <w:tc>
          <w:tcPr>
            <w:tcW w:w="3162" w:type="dxa"/>
            <w:vAlign w:val="center"/>
          </w:tcPr>
          <w:p w14:paraId="453BFA1C" w14:textId="130E3A6C" w:rsidR="000D3D24" w:rsidRDefault="000D3D24" w:rsidP="000D3D24">
            <w:r>
              <w:t>DSP17 – Support the community engagement in the climate and environment agenda</w:t>
            </w:r>
          </w:p>
        </w:tc>
        <w:tc>
          <w:tcPr>
            <w:tcW w:w="6574" w:type="dxa"/>
            <w:vAlign w:val="center"/>
          </w:tcPr>
          <w:p w14:paraId="23E3F0D1" w14:textId="215D5CE7" w:rsidR="000D3D24" w:rsidRDefault="000D3D24" w:rsidP="000D3D24">
            <w:r>
              <w:t>SDDC ha</w:t>
            </w:r>
            <w:r w:rsidR="00182146">
              <w:t>s</w:t>
            </w:r>
            <w:r>
              <w:t xml:space="preserve"> delivered the following community engagement in 2021/22:</w:t>
            </w:r>
          </w:p>
          <w:p w14:paraId="7A9A4283" w14:textId="77777777" w:rsidR="000D3D24" w:rsidRDefault="000D3D24" w:rsidP="000D3D24">
            <w:r>
              <w:t>Carbon Literacy Training for Parish Councils</w:t>
            </w:r>
          </w:p>
          <w:p w14:paraId="0AF68B76" w14:textId="77777777" w:rsidR="000D3D24" w:rsidRDefault="000D3D24" w:rsidP="000D3D24">
            <w:r>
              <w:t>Reducing household energy consumption at the Delph event</w:t>
            </w:r>
          </w:p>
          <w:p w14:paraId="2F50E8B0" w14:textId="77777777" w:rsidR="000D3D24" w:rsidRDefault="000D3D24" w:rsidP="000D3D24">
            <w:r>
              <w:t xml:space="preserve">Reducing household energy consumption and carbon emissions at the Fire Station open days </w:t>
            </w:r>
          </w:p>
          <w:p w14:paraId="4DFB71F7" w14:textId="77777777" w:rsidR="000D3D24" w:rsidRDefault="000D3D24" w:rsidP="000D3D24">
            <w:r>
              <w:t xml:space="preserve">Improving home insulation at the Liberation Day event </w:t>
            </w:r>
          </w:p>
          <w:p w14:paraId="28F6EC66" w14:textId="424FFC41" w:rsidR="000D3D24" w:rsidRDefault="000D3D24" w:rsidP="000D3D24">
            <w:r>
              <w:t xml:space="preserve">COP26 climate change event at Derby City Centre in collaboration with Derby City Council </w:t>
            </w:r>
          </w:p>
        </w:tc>
      </w:tr>
      <w:tr w:rsidR="009827BF" w:rsidRPr="002967D8" w14:paraId="21F80481" w14:textId="77777777" w:rsidTr="00D005CC">
        <w:tc>
          <w:tcPr>
            <w:tcW w:w="3162" w:type="dxa"/>
            <w:vAlign w:val="center"/>
          </w:tcPr>
          <w:p w14:paraId="3091A387" w14:textId="1D303899" w:rsidR="009827BF" w:rsidRDefault="009827BF" w:rsidP="009827BF">
            <w:r>
              <w:t xml:space="preserve">ISP29 – Develop a Climate and Environment communication plan </w:t>
            </w:r>
          </w:p>
        </w:tc>
        <w:tc>
          <w:tcPr>
            <w:tcW w:w="6574" w:type="dxa"/>
            <w:vAlign w:val="center"/>
          </w:tcPr>
          <w:p w14:paraId="5E3B3F4B" w14:textId="5DF7FE60" w:rsidR="009827BF" w:rsidRDefault="009827BF" w:rsidP="009827BF">
            <w:r>
              <w:t xml:space="preserve">An Environment Hub has been created on Connect with a new climate tile to support the understanding of climate change and to showcase the actions the Council is taking to mitigate and build resilience </w:t>
            </w:r>
          </w:p>
        </w:tc>
      </w:tr>
      <w:tr w:rsidR="007573FD" w:rsidRPr="002967D8" w14:paraId="6F7C9757" w14:textId="77777777" w:rsidTr="00D005CC">
        <w:tc>
          <w:tcPr>
            <w:tcW w:w="3162" w:type="dxa"/>
            <w:vAlign w:val="center"/>
          </w:tcPr>
          <w:p w14:paraId="4ADFA573" w14:textId="609436D8" w:rsidR="007573FD" w:rsidRPr="007573FD" w:rsidRDefault="007573FD" w:rsidP="00AB4A7E">
            <w:pPr>
              <w:rPr>
                <w:b/>
                <w:bCs/>
              </w:rPr>
            </w:pPr>
            <w:r>
              <w:rPr>
                <w:b/>
                <w:bCs/>
              </w:rPr>
              <w:t xml:space="preserve">Governance </w:t>
            </w:r>
            <w:r w:rsidR="00D005CC">
              <w:rPr>
                <w:b/>
                <w:bCs/>
              </w:rPr>
              <w:t xml:space="preserve">and Finance </w:t>
            </w:r>
          </w:p>
        </w:tc>
        <w:tc>
          <w:tcPr>
            <w:tcW w:w="6574" w:type="dxa"/>
            <w:vAlign w:val="center"/>
          </w:tcPr>
          <w:p w14:paraId="00DB1335" w14:textId="77777777" w:rsidR="007573FD" w:rsidRDefault="007573FD" w:rsidP="00AB4A7E"/>
        </w:tc>
      </w:tr>
      <w:tr w:rsidR="00126494" w:rsidRPr="002967D8" w14:paraId="5E603C25" w14:textId="77777777" w:rsidTr="00D005CC">
        <w:tc>
          <w:tcPr>
            <w:tcW w:w="3162" w:type="dxa"/>
            <w:vAlign w:val="center"/>
          </w:tcPr>
          <w:p w14:paraId="2E77EDAA" w14:textId="77777777" w:rsidR="00126494" w:rsidRDefault="00126494" w:rsidP="00AB4A7E">
            <w:r>
              <w:t>ISP22 – Ongoing identification of carbon reduction funding</w:t>
            </w:r>
          </w:p>
        </w:tc>
        <w:tc>
          <w:tcPr>
            <w:tcW w:w="6574" w:type="dxa"/>
            <w:vAlign w:val="center"/>
          </w:tcPr>
          <w:p w14:paraId="49E56DB8" w14:textId="486E309E" w:rsidR="00126494" w:rsidRDefault="00126494" w:rsidP="00AB4A7E">
            <w:r>
              <w:t>In 2021/22</w:t>
            </w:r>
            <w:r w:rsidR="00182146">
              <w:t>,</w:t>
            </w:r>
            <w:r>
              <w:t xml:space="preserve"> SDDC </w:t>
            </w:r>
            <w:r w:rsidR="00182146">
              <w:t>was</w:t>
            </w:r>
            <w:r>
              <w:t xml:space="preserve"> successful in winning funding for: Private Housing decarbonisation – Green homes grants and Homes Upgrade Schemes</w:t>
            </w:r>
          </w:p>
          <w:p w14:paraId="01AF1951" w14:textId="464BF058" w:rsidR="00126494" w:rsidRDefault="00126494" w:rsidP="00AB4A7E">
            <w:r>
              <w:t xml:space="preserve">Council Housing Stock decarbonisation – Social Housing Decarbonisation Funding to retrofit 111 </w:t>
            </w:r>
            <w:r w:rsidR="00182146">
              <w:t>C</w:t>
            </w:r>
            <w:r>
              <w:t xml:space="preserve">ouncil properties </w:t>
            </w:r>
          </w:p>
          <w:p w14:paraId="356AFA5D" w14:textId="6A503CBA" w:rsidR="00126494" w:rsidRDefault="00126494" w:rsidP="00AB4A7E">
            <w:r>
              <w:t xml:space="preserve">Electric Vehicle Infrastructure – 24 additional charge points installed across the </w:t>
            </w:r>
            <w:r w:rsidR="00182146">
              <w:t>D</w:t>
            </w:r>
            <w:r>
              <w:t xml:space="preserve">istrict </w:t>
            </w:r>
          </w:p>
          <w:p w14:paraId="641395A1" w14:textId="77777777" w:rsidR="00126494" w:rsidRDefault="00126494" w:rsidP="00AB4A7E">
            <w:r>
              <w:t xml:space="preserve">Consultancy funding support for decarbonisation planning of public buildings </w:t>
            </w:r>
          </w:p>
        </w:tc>
      </w:tr>
      <w:tr w:rsidR="000D3D24" w:rsidRPr="002967D8" w14:paraId="2FBA2CD3" w14:textId="77777777" w:rsidTr="00D005CC">
        <w:tc>
          <w:tcPr>
            <w:tcW w:w="3162" w:type="dxa"/>
            <w:vAlign w:val="center"/>
          </w:tcPr>
          <w:p w14:paraId="63FF8ED2" w14:textId="7BDFAD5F" w:rsidR="000D3D24" w:rsidRDefault="000D3D24" w:rsidP="000D3D24">
            <w:r>
              <w:t>ISP27 – Annual review/verification of SDDC Climate and Environment Action Plan</w:t>
            </w:r>
          </w:p>
        </w:tc>
        <w:tc>
          <w:tcPr>
            <w:tcW w:w="6574" w:type="dxa"/>
            <w:vAlign w:val="center"/>
          </w:tcPr>
          <w:p w14:paraId="5E16E774" w14:textId="4F0B1544" w:rsidR="000D3D24" w:rsidRDefault="000D3D24" w:rsidP="000D3D24">
            <w:r>
              <w:t>The Climate and Action Plan has been verified by the ISO14001 Audit, the Internal Central Midlands Audit and has been scored at 70% by the Climate Emergency UK organisation which placed it a 11</w:t>
            </w:r>
            <w:r w:rsidRPr="00BC0889">
              <w:rPr>
                <w:vertAlign w:val="superscript"/>
              </w:rPr>
              <w:t>th</w:t>
            </w:r>
            <w:r>
              <w:t xml:space="preserve"> position in its league of all the Local Authority Districts in England. </w:t>
            </w:r>
          </w:p>
        </w:tc>
      </w:tr>
      <w:tr w:rsidR="00D005CC" w:rsidRPr="002967D8" w14:paraId="3A8EDED2" w14:textId="77777777" w:rsidTr="00D005CC">
        <w:tc>
          <w:tcPr>
            <w:tcW w:w="3162" w:type="dxa"/>
            <w:vAlign w:val="center"/>
          </w:tcPr>
          <w:p w14:paraId="494C9132" w14:textId="6819922C" w:rsidR="00D005CC" w:rsidRDefault="00D005CC" w:rsidP="00D005CC">
            <w:r>
              <w:lastRenderedPageBreak/>
              <w:t>ISP15 – Review of Council’s finance and investments to embed carbon neutrality</w:t>
            </w:r>
          </w:p>
        </w:tc>
        <w:tc>
          <w:tcPr>
            <w:tcW w:w="6574" w:type="dxa"/>
            <w:vAlign w:val="center"/>
          </w:tcPr>
          <w:p w14:paraId="196B0AED" w14:textId="38099633" w:rsidR="00D005CC" w:rsidRDefault="00D005CC" w:rsidP="00D005CC">
            <w:r>
              <w:t xml:space="preserve">Derbyshire Pensions and Investments Committee approved a climate strategy that included clear targets for reducing carbon emissions of the fund’s equity portfolio and increasing investment in low carbon and sustainable investments </w:t>
            </w:r>
          </w:p>
        </w:tc>
      </w:tr>
      <w:tr w:rsidR="00126494" w:rsidRPr="002967D8" w14:paraId="5E349D0D" w14:textId="77777777" w:rsidTr="00D005CC">
        <w:tc>
          <w:tcPr>
            <w:tcW w:w="3162" w:type="dxa"/>
            <w:vAlign w:val="center"/>
          </w:tcPr>
          <w:p w14:paraId="2CF03E8B" w14:textId="3B23DE7B" w:rsidR="00126494" w:rsidRPr="000D3D24" w:rsidRDefault="00D005CC" w:rsidP="00AB4A7E">
            <w:pPr>
              <w:rPr>
                <w:b/>
                <w:bCs/>
              </w:rPr>
            </w:pPr>
            <w:r>
              <w:rPr>
                <w:b/>
                <w:bCs/>
              </w:rPr>
              <w:t xml:space="preserve">Renewable Energy </w:t>
            </w:r>
          </w:p>
        </w:tc>
        <w:tc>
          <w:tcPr>
            <w:tcW w:w="6574" w:type="dxa"/>
            <w:vAlign w:val="center"/>
          </w:tcPr>
          <w:p w14:paraId="179C31F1" w14:textId="1D2EC723" w:rsidR="00126494" w:rsidRDefault="00126494" w:rsidP="00AB4A7E"/>
        </w:tc>
      </w:tr>
      <w:tr w:rsidR="000D3D24" w:rsidRPr="002967D8" w14:paraId="318EB71A" w14:textId="77777777" w:rsidTr="00D005CC">
        <w:tc>
          <w:tcPr>
            <w:tcW w:w="3162" w:type="dxa"/>
            <w:vAlign w:val="center"/>
          </w:tcPr>
          <w:p w14:paraId="2379E5E6" w14:textId="4D4244DC" w:rsidR="000D3D24" w:rsidRDefault="000D3D24" w:rsidP="000D3D24">
            <w:r>
              <w:t>DSP7 – Review of Hydrogen infrastructure in South Derbyshire</w:t>
            </w:r>
          </w:p>
        </w:tc>
        <w:tc>
          <w:tcPr>
            <w:tcW w:w="6574" w:type="dxa"/>
            <w:vAlign w:val="center"/>
          </w:tcPr>
          <w:p w14:paraId="16756ACB" w14:textId="02AAE524" w:rsidR="000D3D24" w:rsidRDefault="000D3D24" w:rsidP="000D3D24">
            <w:r>
              <w:t xml:space="preserve">SDDC </w:t>
            </w:r>
            <w:r w:rsidR="00182146">
              <w:t>was</w:t>
            </w:r>
            <w:r>
              <w:t xml:space="preserve"> successful in securing funding for a hydrogen innovation project for 2022/23 </w:t>
            </w:r>
          </w:p>
        </w:tc>
      </w:tr>
      <w:tr w:rsidR="000D3D24" w:rsidRPr="002967D8" w14:paraId="2E8D5E3D" w14:textId="77777777" w:rsidTr="00D005CC">
        <w:tc>
          <w:tcPr>
            <w:tcW w:w="3162" w:type="dxa"/>
            <w:vAlign w:val="center"/>
          </w:tcPr>
          <w:p w14:paraId="4B13339E" w14:textId="2B2D428F" w:rsidR="000D3D24" w:rsidRDefault="000D3D24" w:rsidP="000D3D24">
            <w:r>
              <w:t xml:space="preserve">ISP8 – Phased replacement of grounds maintenance plant to electric </w:t>
            </w:r>
          </w:p>
        </w:tc>
        <w:tc>
          <w:tcPr>
            <w:tcW w:w="6574" w:type="dxa"/>
            <w:vAlign w:val="center"/>
          </w:tcPr>
          <w:p w14:paraId="49C53BA1" w14:textId="025F2ADD" w:rsidR="000D3D24" w:rsidRDefault="000D3D24" w:rsidP="000D3D24">
            <w:r>
              <w:t xml:space="preserve">75% of all grounds maintenance machinery has now been transitioned from petrol fuel power to electric </w:t>
            </w:r>
          </w:p>
        </w:tc>
      </w:tr>
    </w:tbl>
    <w:p w14:paraId="499A89E3" w14:textId="5872B4B1" w:rsidR="002A1821" w:rsidRPr="00D52760" w:rsidRDefault="00D005CC" w:rsidP="00D52760">
      <w:pPr>
        <w:pStyle w:val="Heading2"/>
        <w:tabs>
          <w:tab w:val="left" w:pos="6140"/>
        </w:tabs>
        <w:rPr>
          <w:color w:val="FF0000"/>
        </w:rPr>
      </w:pPr>
      <w:r>
        <w:t>1.4</w:t>
      </w:r>
      <w:r w:rsidR="002A1821">
        <w:t xml:space="preserve"> </w:t>
      </w:r>
      <w:r>
        <w:t xml:space="preserve">Progress </w:t>
      </w:r>
      <w:r w:rsidR="00D52760">
        <w:t>from the</w:t>
      </w:r>
      <w:r w:rsidR="002A1821">
        <w:t xml:space="preserve"> 2021/22 Annual Carbon Report </w:t>
      </w:r>
    </w:p>
    <w:p w14:paraId="6F3E081B" w14:textId="3EF69916" w:rsidR="00970282" w:rsidRDefault="00970282" w:rsidP="00970282">
      <w:r>
        <w:t>Th</w:t>
      </w:r>
      <w:r w:rsidR="00D52760">
        <w:t xml:space="preserve">e Annual </w:t>
      </w:r>
      <w:r>
        <w:t xml:space="preserve">Carbon Report gives an outline of the progress SDDC </w:t>
      </w:r>
      <w:r w:rsidR="00182146">
        <w:t xml:space="preserve">is </w:t>
      </w:r>
      <w:r>
        <w:t xml:space="preserve">making on reducing </w:t>
      </w:r>
      <w:r w:rsidR="00182146">
        <w:t xml:space="preserve">its </w:t>
      </w:r>
      <w:r>
        <w:t>in-house carbon emissions</w:t>
      </w:r>
      <w:r w:rsidR="00D52760">
        <w:t xml:space="preserve"> in 2021/22, the District-wide trending of</w:t>
      </w:r>
      <w:r>
        <w:t xml:space="preserve"> carbon emissions and the overall roadmap of SDDC’s journey to carbon neutrality by 2030. </w:t>
      </w:r>
    </w:p>
    <w:p w14:paraId="21D27D77" w14:textId="7B302666" w:rsidR="00ED5F99" w:rsidRDefault="00970282" w:rsidP="00970282">
      <w:r>
        <w:t>Th</w:t>
      </w:r>
      <w:r w:rsidR="007A5067">
        <w:t xml:space="preserve">e annual carbon report are a significant </w:t>
      </w:r>
      <w:r>
        <w:t>measure of t</w:t>
      </w:r>
      <w:r w:rsidR="008A20B2">
        <w:t>h</w:t>
      </w:r>
      <w:r>
        <w:t xml:space="preserve">e C&amp;E Action </w:t>
      </w:r>
      <w:r w:rsidR="008A20B2">
        <w:t>Plan and its 55 actions</w:t>
      </w:r>
      <w:r w:rsidR="007A5067">
        <w:t xml:space="preserve">, indicating </w:t>
      </w:r>
      <w:r w:rsidR="008A20B2">
        <w:t>whether the</w:t>
      </w:r>
      <w:r w:rsidR="007A5067">
        <w:t xml:space="preserve"> actions taken </w:t>
      </w:r>
      <w:r w:rsidR="008A20B2">
        <w:t>are effectively reducing</w:t>
      </w:r>
      <w:r w:rsidR="007A5067">
        <w:t xml:space="preserve"> both in-house and district-wide </w:t>
      </w:r>
      <w:r w:rsidR="008A20B2">
        <w:t xml:space="preserve">carbon emissions and the likelihood on whether SDDC </w:t>
      </w:r>
      <w:r w:rsidR="007A5067">
        <w:t xml:space="preserve">will deliver its carbon neutral commitments. </w:t>
      </w:r>
    </w:p>
    <w:p w14:paraId="013E14A3" w14:textId="155BC613" w:rsidR="00ED5F99" w:rsidRDefault="00ED5F99" w:rsidP="00970282">
      <w:r>
        <w:t xml:space="preserve">The table below shows the achievements SDDC have made in 2021/22 in reducing their in-house and </w:t>
      </w:r>
      <w:r w:rsidR="00182146">
        <w:t>D</w:t>
      </w:r>
      <w:r>
        <w:t xml:space="preserve">istrict-wide carbon emissions. </w:t>
      </w:r>
    </w:p>
    <w:p w14:paraId="55C1770E" w14:textId="5238B1BB" w:rsidR="008A20B2" w:rsidRDefault="003E5F05" w:rsidP="00970282">
      <w:pPr>
        <w:rPr>
          <w:b/>
          <w:bCs/>
        </w:rPr>
      </w:pPr>
      <w:r>
        <w:rPr>
          <w:b/>
          <w:bCs/>
        </w:rPr>
        <w:t>C</w:t>
      </w:r>
      <w:r w:rsidR="00ED5F99">
        <w:rPr>
          <w:b/>
          <w:bCs/>
        </w:rPr>
        <w:t>arbon emissions reduction achievements in 2021/22</w:t>
      </w:r>
    </w:p>
    <w:tbl>
      <w:tblPr>
        <w:tblStyle w:val="TableGrid"/>
        <w:tblW w:w="0" w:type="auto"/>
        <w:tblLook w:val="04A0" w:firstRow="1" w:lastRow="0" w:firstColumn="1" w:lastColumn="0" w:noHBand="0" w:noVBand="1"/>
      </w:tblPr>
      <w:tblGrid>
        <w:gridCol w:w="4106"/>
        <w:gridCol w:w="5630"/>
      </w:tblGrid>
      <w:tr w:rsidR="001808B7" w14:paraId="00F9AA79" w14:textId="77777777" w:rsidTr="00FA63E0">
        <w:tc>
          <w:tcPr>
            <w:tcW w:w="4106" w:type="dxa"/>
            <w:shd w:val="clear" w:color="auto" w:fill="D9D9D9" w:themeFill="background1" w:themeFillShade="D9"/>
          </w:tcPr>
          <w:p w14:paraId="4C7B946D" w14:textId="77777777" w:rsidR="001808B7" w:rsidRPr="009C656E" w:rsidRDefault="001808B7" w:rsidP="00FA63E0">
            <w:pPr>
              <w:rPr>
                <w:b/>
                <w:bCs/>
              </w:rPr>
            </w:pPr>
            <w:r w:rsidRPr="009C656E">
              <w:rPr>
                <w:b/>
                <w:bCs/>
              </w:rPr>
              <w:t xml:space="preserve">Achievement </w:t>
            </w:r>
          </w:p>
        </w:tc>
        <w:tc>
          <w:tcPr>
            <w:tcW w:w="5630" w:type="dxa"/>
            <w:shd w:val="clear" w:color="auto" w:fill="D9D9D9" w:themeFill="background1" w:themeFillShade="D9"/>
          </w:tcPr>
          <w:p w14:paraId="3BFA00B3" w14:textId="77777777" w:rsidR="001808B7" w:rsidRPr="009C656E" w:rsidRDefault="001808B7" w:rsidP="00FA63E0">
            <w:pPr>
              <w:rPr>
                <w:b/>
                <w:bCs/>
              </w:rPr>
            </w:pPr>
            <w:r w:rsidRPr="009C656E">
              <w:rPr>
                <w:b/>
                <w:bCs/>
              </w:rPr>
              <w:t>Summary</w:t>
            </w:r>
          </w:p>
        </w:tc>
      </w:tr>
      <w:tr w:rsidR="001808B7" w14:paraId="391BDE78" w14:textId="77777777" w:rsidTr="00FA63E0">
        <w:tc>
          <w:tcPr>
            <w:tcW w:w="4106" w:type="dxa"/>
          </w:tcPr>
          <w:p w14:paraId="67DD2ED2" w14:textId="77777777" w:rsidR="001808B7" w:rsidRDefault="001808B7" w:rsidP="00FA63E0">
            <w:r>
              <w:t>Overall in-house carbon emissions have reduced year-on year</w:t>
            </w:r>
          </w:p>
        </w:tc>
        <w:tc>
          <w:tcPr>
            <w:tcW w:w="5630" w:type="dxa"/>
          </w:tcPr>
          <w:p w14:paraId="2B5A0FC6" w14:textId="77777777" w:rsidR="001808B7" w:rsidRDefault="001808B7" w:rsidP="00FA63E0">
            <w:r>
              <w:t>Against 2018/19 benchmark, the 2021/22 in-house carbon emissions have reduced by 21.5%</w:t>
            </w:r>
          </w:p>
        </w:tc>
      </w:tr>
      <w:tr w:rsidR="001808B7" w14:paraId="0ED0086E" w14:textId="77777777" w:rsidTr="00FA63E0">
        <w:tc>
          <w:tcPr>
            <w:tcW w:w="4106" w:type="dxa"/>
          </w:tcPr>
          <w:p w14:paraId="7D327CA1" w14:textId="77224E50" w:rsidR="001808B7" w:rsidRDefault="00B903F0" w:rsidP="00FA63E0">
            <w:r>
              <w:t>Individual i</w:t>
            </w:r>
            <w:r w:rsidR="001808B7">
              <w:t>n-house Scope 1 and 2 emissions</w:t>
            </w:r>
            <w:r>
              <w:t xml:space="preserve"> sources</w:t>
            </w:r>
            <w:r w:rsidR="001808B7">
              <w:t xml:space="preserve"> are reducing year-on-year</w:t>
            </w:r>
            <w:r w:rsidR="00702E18">
              <w:t xml:space="preserve"> since 2018/19</w:t>
            </w:r>
          </w:p>
        </w:tc>
        <w:tc>
          <w:tcPr>
            <w:tcW w:w="5630" w:type="dxa"/>
          </w:tcPr>
          <w:p w14:paraId="38C6B2F1" w14:textId="77777777" w:rsidR="001808B7" w:rsidRDefault="00702E18" w:rsidP="00702E18">
            <w:pPr>
              <w:pStyle w:val="ListParagraph"/>
              <w:numPr>
                <w:ilvl w:val="0"/>
                <w:numId w:val="41"/>
              </w:numPr>
            </w:pPr>
            <w:r>
              <w:t>Heat (gas) reduced by 20%</w:t>
            </w:r>
          </w:p>
          <w:p w14:paraId="69A38E49" w14:textId="77777777" w:rsidR="00702E18" w:rsidRDefault="00702E18" w:rsidP="00702E18">
            <w:pPr>
              <w:pStyle w:val="ListParagraph"/>
              <w:numPr>
                <w:ilvl w:val="0"/>
                <w:numId w:val="41"/>
              </w:numPr>
            </w:pPr>
            <w:r>
              <w:t>Electricity reduced by 52%</w:t>
            </w:r>
          </w:p>
          <w:p w14:paraId="3F095850" w14:textId="77777777" w:rsidR="00702E18" w:rsidRDefault="00702E18" w:rsidP="00702E18">
            <w:pPr>
              <w:pStyle w:val="ListParagraph"/>
              <w:numPr>
                <w:ilvl w:val="0"/>
                <w:numId w:val="41"/>
              </w:numPr>
            </w:pPr>
            <w:r>
              <w:t>Refrigerant reduced by 44%</w:t>
            </w:r>
          </w:p>
          <w:p w14:paraId="14E420EE" w14:textId="058EF955" w:rsidR="00702E18" w:rsidRDefault="00702E18" w:rsidP="00702E18">
            <w:pPr>
              <w:pStyle w:val="ListParagraph"/>
              <w:numPr>
                <w:ilvl w:val="0"/>
                <w:numId w:val="41"/>
              </w:numPr>
            </w:pPr>
            <w:r>
              <w:t xml:space="preserve">Fleet (diesel) increased by 17% </w:t>
            </w:r>
          </w:p>
        </w:tc>
      </w:tr>
      <w:tr w:rsidR="001808B7" w14:paraId="792C8DAC" w14:textId="77777777" w:rsidTr="00FA63E0">
        <w:tc>
          <w:tcPr>
            <w:tcW w:w="4106" w:type="dxa"/>
          </w:tcPr>
          <w:p w14:paraId="5DE01FC1" w14:textId="58FFF35D" w:rsidR="001808B7" w:rsidRDefault="001808B7" w:rsidP="00FA63E0">
            <w:r>
              <w:t>Most in-house Scope 3 emissions are reducing year-on year</w:t>
            </w:r>
          </w:p>
        </w:tc>
        <w:tc>
          <w:tcPr>
            <w:tcW w:w="5630" w:type="dxa"/>
          </w:tcPr>
          <w:p w14:paraId="558DD281" w14:textId="137A43CC" w:rsidR="001808B7" w:rsidRDefault="001808B7" w:rsidP="00FA63E0">
            <w:r>
              <w:t xml:space="preserve">Emissions from waste, water, employee commuting and grey fleet are showing </w:t>
            </w:r>
            <w:r w:rsidR="00702E18">
              <w:t xml:space="preserve">50% reductions from 2018/19 baseline. </w:t>
            </w:r>
          </w:p>
          <w:p w14:paraId="7A2F0700" w14:textId="41D3F917" w:rsidR="00702E18" w:rsidRDefault="00702E18" w:rsidP="003E5F05">
            <w:r>
              <w:t xml:space="preserve">Supply chain Scope 3 emissions have increased </w:t>
            </w:r>
            <w:r w:rsidR="003E5F05">
              <w:t>by 32% against 2018/19 baseline.</w:t>
            </w:r>
          </w:p>
        </w:tc>
      </w:tr>
      <w:tr w:rsidR="001808B7" w14:paraId="1981CA2E" w14:textId="77777777" w:rsidTr="00FA63E0">
        <w:tc>
          <w:tcPr>
            <w:tcW w:w="4106" w:type="dxa"/>
          </w:tcPr>
          <w:p w14:paraId="3D43F74C" w14:textId="77777777" w:rsidR="001808B7" w:rsidRDefault="001808B7" w:rsidP="00FA63E0">
            <w:r>
              <w:t>District-wide emissions are reducing year-on year</w:t>
            </w:r>
          </w:p>
        </w:tc>
        <w:tc>
          <w:tcPr>
            <w:tcW w:w="5630" w:type="dxa"/>
          </w:tcPr>
          <w:p w14:paraId="7372E32A" w14:textId="5D2919B1" w:rsidR="001808B7" w:rsidRDefault="001808B7" w:rsidP="00FA63E0">
            <w:r>
              <w:t>District-wide emissions have reduced by 4% since the 2017/18 benchmark by 4%</w:t>
            </w:r>
            <w:r w:rsidR="003E5F05">
              <w:t xml:space="preserve"> and by 9% per head of population</w:t>
            </w:r>
          </w:p>
        </w:tc>
      </w:tr>
      <w:tr w:rsidR="001808B7" w14:paraId="0E11ABC4" w14:textId="77777777" w:rsidTr="00FA63E0">
        <w:tc>
          <w:tcPr>
            <w:tcW w:w="4106" w:type="dxa"/>
          </w:tcPr>
          <w:p w14:paraId="4A5BEEAD" w14:textId="77777777" w:rsidR="001808B7" w:rsidRDefault="001808B7" w:rsidP="00FA63E0">
            <w:r>
              <w:t>Compared to other Districts in Derbyshire</w:t>
            </w:r>
          </w:p>
        </w:tc>
        <w:tc>
          <w:tcPr>
            <w:tcW w:w="5630" w:type="dxa"/>
          </w:tcPr>
          <w:p w14:paraId="43E04707" w14:textId="77777777" w:rsidR="001808B7" w:rsidRDefault="001808B7" w:rsidP="00FA63E0">
            <w:r>
              <w:t xml:space="preserve">Although the total emissions of South Derbyshire are the third highest in Derbyshire, the reduction in emissions per head of population is the third highest. </w:t>
            </w:r>
          </w:p>
        </w:tc>
      </w:tr>
    </w:tbl>
    <w:p w14:paraId="5DA975BD" w14:textId="77777777" w:rsidR="00C302F9" w:rsidRDefault="00C302F9" w:rsidP="001808B7"/>
    <w:p w14:paraId="36A633EB" w14:textId="2A280DE3" w:rsidR="00566336" w:rsidRDefault="00566336" w:rsidP="001808B7">
      <w:r>
        <w:t xml:space="preserve">Overall it can be seen from the graph below that illustrates the planned reduction in carbon emissions from the 2018/19 baseline to the committed target of carbon neutrality in 2030. </w:t>
      </w:r>
    </w:p>
    <w:p w14:paraId="46081390" w14:textId="3B153872" w:rsidR="00566336" w:rsidRDefault="00566336" w:rsidP="001808B7">
      <w:r w:rsidRPr="00CF425E">
        <w:rPr>
          <w:noProof/>
          <w:shd w:val="clear" w:color="auto" w:fill="2D0054" w:themeFill="text2"/>
        </w:rPr>
        <w:lastRenderedPageBreak/>
        <w:drawing>
          <wp:inline distT="0" distB="0" distL="0" distR="0" wp14:anchorId="57E9002E" wp14:editId="668FF0BA">
            <wp:extent cx="6188710" cy="3219450"/>
            <wp:effectExtent l="0" t="0" r="254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566D5E9" w14:textId="2687471E" w:rsidR="003E5F05" w:rsidRPr="003E5F05" w:rsidRDefault="0017794A" w:rsidP="000F52F8">
      <w:r>
        <w:t>From the annual carbon report, the overall in-house carbon emissions in 2021/22 have reduced by 22% (542 tCO2e) from the baseline figure of 2495 tCO2e in 2018/19, showing that SDDC are on track to meet its targets because of the actions it is taking.</w:t>
      </w:r>
      <w:bookmarkEnd w:id="6"/>
      <w:r w:rsidR="001F57EE">
        <w:t xml:space="preserve"> </w:t>
      </w:r>
    </w:p>
    <w:p w14:paraId="423198C5" w14:textId="53A30EEA" w:rsidR="00876BFF" w:rsidRDefault="000F52F8" w:rsidP="00876BFF">
      <w:pPr>
        <w:pStyle w:val="Heading2"/>
      </w:pPr>
      <w:r>
        <w:t xml:space="preserve">1.5 </w:t>
      </w:r>
      <w:r w:rsidR="00893226">
        <w:t xml:space="preserve">Additional Actions </w:t>
      </w:r>
      <w:r w:rsidR="001F57EE">
        <w:t xml:space="preserve">to be included in the C&amp;E Action Plan </w:t>
      </w:r>
      <w:r>
        <w:t>for 2022/23</w:t>
      </w:r>
    </w:p>
    <w:p w14:paraId="7EFBC868" w14:textId="3A81736F" w:rsidR="00FC12BA" w:rsidRDefault="00876BFF" w:rsidP="00515963">
      <w:r>
        <w:t>Through the Audit, Project Management and the C&amp;E Action Plan review process there are additional actions that should be included in the C&amp;E Action Plan for 2022/23. These are shown below:</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3307"/>
        <w:gridCol w:w="6429"/>
      </w:tblGrid>
      <w:tr w:rsidR="00876BFF" w:rsidRPr="00ED0B8A" w14:paraId="780EFE29" w14:textId="77777777" w:rsidTr="00E173E1">
        <w:trPr>
          <w:trHeight w:val="347"/>
        </w:trPr>
        <w:tc>
          <w:tcPr>
            <w:tcW w:w="3307" w:type="dxa"/>
            <w:shd w:val="clear" w:color="auto" w:fill="A6A6A6" w:themeFill="background1" w:themeFillShade="A6"/>
            <w:vAlign w:val="center"/>
          </w:tcPr>
          <w:p w14:paraId="74BE48D4" w14:textId="64BD4432" w:rsidR="00876BFF" w:rsidRPr="00E173E1" w:rsidRDefault="00876BFF" w:rsidP="00F3735F">
            <w:pPr>
              <w:rPr>
                <w:rFonts w:cstheme="minorHAnsi"/>
                <w:b/>
                <w:bCs/>
                <w:szCs w:val="18"/>
              </w:rPr>
            </w:pPr>
            <w:r w:rsidRPr="00E173E1">
              <w:rPr>
                <w:rFonts w:cstheme="minorHAnsi"/>
                <w:b/>
                <w:bCs/>
                <w:szCs w:val="18"/>
              </w:rPr>
              <w:t xml:space="preserve">Additional </w:t>
            </w:r>
            <w:r w:rsidR="00373A71" w:rsidRPr="00E173E1">
              <w:rPr>
                <w:rFonts w:cstheme="minorHAnsi"/>
                <w:b/>
                <w:bCs/>
                <w:szCs w:val="18"/>
              </w:rPr>
              <w:t xml:space="preserve">New </w:t>
            </w:r>
            <w:r w:rsidRPr="00E173E1">
              <w:rPr>
                <w:rFonts w:cstheme="minorHAnsi"/>
                <w:b/>
                <w:bCs/>
                <w:szCs w:val="18"/>
              </w:rPr>
              <w:t>Actions</w:t>
            </w:r>
          </w:p>
        </w:tc>
        <w:tc>
          <w:tcPr>
            <w:tcW w:w="6429" w:type="dxa"/>
            <w:shd w:val="clear" w:color="auto" w:fill="A6A6A6" w:themeFill="background1" w:themeFillShade="A6"/>
            <w:vAlign w:val="center"/>
          </w:tcPr>
          <w:p w14:paraId="42FCD1F2" w14:textId="621BFA59" w:rsidR="00876BFF" w:rsidRPr="00E173E1" w:rsidRDefault="00876BFF" w:rsidP="00F3735F">
            <w:pPr>
              <w:rPr>
                <w:rFonts w:cstheme="minorHAnsi"/>
                <w:b/>
                <w:bCs/>
                <w:szCs w:val="18"/>
              </w:rPr>
            </w:pPr>
            <w:r w:rsidRPr="00E173E1">
              <w:rPr>
                <w:rFonts w:cstheme="minorHAnsi"/>
                <w:b/>
                <w:bCs/>
                <w:szCs w:val="18"/>
              </w:rPr>
              <w:t>Detail</w:t>
            </w:r>
          </w:p>
        </w:tc>
      </w:tr>
      <w:tr w:rsidR="00811652" w:rsidRPr="002967D8" w14:paraId="043BCBB3" w14:textId="77777777" w:rsidTr="00F3735F">
        <w:tc>
          <w:tcPr>
            <w:tcW w:w="3307" w:type="dxa"/>
            <w:vAlign w:val="center"/>
          </w:tcPr>
          <w:p w14:paraId="16DFD79F" w14:textId="78873CE9" w:rsidR="00811652" w:rsidRPr="00811652" w:rsidRDefault="00811652" w:rsidP="00F3735F">
            <w:pPr>
              <w:rPr>
                <w:b/>
                <w:bCs/>
              </w:rPr>
            </w:pPr>
            <w:r>
              <w:rPr>
                <w:b/>
                <w:bCs/>
              </w:rPr>
              <w:t>Biodiversity</w:t>
            </w:r>
          </w:p>
        </w:tc>
        <w:tc>
          <w:tcPr>
            <w:tcW w:w="6429" w:type="dxa"/>
            <w:vAlign w:val="center"/>
          </w:tcPr>
          <w:p w14:paraId="245FA4A3" w14:textId="77777777" w:rsidR="00811652" w:rsidRDefault="00811652" w:rsidP="00F3735F"/>
        </w:tc>
      </w:tr>
      <w:tr w:rsidR="00876BFF" w:rsidRPr="002967D8" w14:paraId="2DE3571F" w14:textId="77777777" w:rsidTr="00F3735F">
        <w:tc>
          <w:tcPr>
            <w:tcW w:w="3307" w:type="dxa"/>
            <w:vAlign w:val="center"/>
          </w:tcPr>
          <w:p w14:paraId="72397582" w14:textId="03772348" w:rsidR="00876BFF" w:rsidRPr="002967D8" w:rsidRDefault="0092784D" w:rsidP="00F3735F">
            <w:r>
              <w:t xml:space="preserve">SDDC </w:t>
            </w:r>
            <w:r w:rsidR="00A947E3">
              <w:t xml:space="preserve">carbon sequestration </w:t>
            </w:r>
          </w:p>
        </w:tc>
        <w:tc>
          <w:tcPr>
            <w:tcW w:w="6429" w:type="dxa"/>
            <w:vAlign w:val="center"/>
          </w:tcPr>
          <w:p w14:paraId="215DFDEE" w14:textId="46F182AD" w:rsidR="00876BFF" w:rsidRPr="002967D8" w:rsidRDefault="00EB2A49" w:rsidP="00F3735F">
            <w:r>
              <w:t>Estimation of c</w:t>
            </w:r>
            <w:r w:rsidR="0092784D">
              <w:t xml:space="preserve">arbon </w:t>
            </w:r>
            <w:r>
              <w:t>sequestration</w:t>
            </w:r>
            <w:r w:rsidR="0092784D">
              <w:t xml:space="preserve"> of green areas </w:t>
            </w:r>
            <w:r w:rsidR="009F03AC">
              <w:t>owned by SDDC</w:t>
            </w:r>
          </w:p>
        </w:tc>
      </w:tr>
      <w:tr w:rsidR="00EB2A49" w:rsidRPr="002967D8" w14:paraId="76CAA47B" w14:textId="77777777" w:rsidTr="00F3735F">
        <w:tc>
          <w:tcPr>
            <w:tcW w:w="3307" w:type="dxa"/>
            <w:vAlign w:val="center"/>
          </w:tcPr>
          <w:p w14:paraId="32FBB09B" w14:textId="782C0AA8" w:rsidR="00EB2A49" w:rsidRDefault="00EB2A49" w:rsidP="00F3735F">
            <w:r>
              <w:t>Monitoring biodiversity net gain</w:t>
            </w:r>
          </w:p>
        </w:tc>
        <w:tc>
          <w:tcPr>
            <w:tcW w:w="6429" w:type="dxa"/>
            <w:vAlign w:val="center"/>
          </w:tcPr>
          <w:p w14:paraId="7CB2EA12" w14:textId="4F90D243" w:rsidR="00EB2A49" w:rsidRDefault="00425BB5" w:rsidP="00F3735F">
            <w:r>
              <w:t xml:space="preserve">The </w:t>
            </w:r>
            <w:r w:rsidR="009A7EB2">
              <w:t xml:space="preserve">GIS </w:t>
            </w:r>
            <w:r>
              <w:t>m</w:t>
            </w:r>
            <w:r w:rsidR="00EB2A49">
              <w:t xml:space="preserve">apping </w:t>
            </w:r>
            <w:r w:rsidR="009A7EB2">
              <w:t xml:space="preserve">of </w:t>
            </w:r>
            <w:r w:rsidR="00EB2A49">
              <w:t xml:space="preserve">the green spaces, parks, woodland, forests owned by SDDC across South Derbyshire </w:t>
            </w:r>
            <w:r w:rsidR="009A7EB2">
              <w:t>should be</w:t>
            </w:r>
            <w:r>
              <w:t xml:space="preserve"> used to maximise biodiversity net gain</w:t>
            </w:r>
            <w:r w:rsidR="009A7EB2">
              <w:t xml:space="preserve"> </w:t>
            </w:r>
            <w:r w:rsidR="00811652">
              <w:t>in new</w:t>
            </w:r>
            <w:r w:rsidR="009A7EB2">
              <w:t xml:space="preserve"> proposals</w:t>
            </w:r>
            <w:r>
              <w:t xml:space="preserve"> as new legislation comes into force. </w:t>
            </w:r>
          </w:p>
        </w:tc>
      </w:tr>
      <w:tr w:rsidR="00811652" w:rsidRPr="002967D8" w14:paraId="249B3037" w14:textId="77777777" w:rsidTr="00F3735F">
        <w:tc>
          <w:tcPr>
            <w:tcW w:w="3307" w:type="dxa"/>
            <w:vAlign w:val="center"/>
          </w:tcPr>
          <w:p w14:paraId="364D9EDE" w14:textId="2CB89F6A" w:rsidR="00811652" w:rsidRPr="00811652" w:rsidRDefault="00811652" w:rsidP="00F3735F">
            <w:pPr>
              <w:rPr>
                <w:b/>
                <w:bCs/>
              </w:rPr>
            </w:pPr>
            <w:r>
              <w:rPr>
                <w:b/>
                <w:bCs/>
              </w:rPr>
              <w:t>Transport</w:t>
            </w:r>
          </w:p>
        </w:tc>
        <w:tc>
          <w:tcPr>
            <w:tcW w:w="6429" w:type="dxa"/>
            <w:vAlign w:val="center"/>
          </w:tcPr>
          <w:p w14:paraId="5AD47BB8" w14:textId="77777777" w:rsidR="00811652" w:rsidRDefault="00811652" w:rsidP="00F3735F"/>
        </w:tc>
      </w:tr>
      <w:tr w:rsidR="00876BFF" w:rsidRPr="002967D8" w14:paraId="4B3CCA16" w14:textId="77777777" w:rsidTr="00F3735F">
        <w:tc>
          <w:tcPr>
            <w:tcW w:w="3307" w:type="dxa"/>
            <w:vAlign w:val="center"/>
          </w:tcPr>
          <w:p w14:paraId="05921AEE" w14:textId="42F92FE3" w:rsidR="00876BFF" w:rsidRPr="002967D8" w:rsidRDefault="0092784D" w:rsidP="00F3735F">
            <w:r>
              <w:t>Low carbon taxi’s</w:t>
            </w:r>
          </w:p>
        </w:tc>
        <w:tc>
          <w:tcPr>
            <w:tcW w:w="6429" w:type="dxa"/>
            <w:vAlign w:val="center"/>
          </w:tcPr>
          <w:p w14:paraId="511FC7B2" w14:textId="6D97C672" w:rsidR="00876BFF" w:rsidRPr="002967D8" w:rsidRDefault="0088227C" w:rsidP="00F3735F">
            <w:r>
              <w:t>Feasibility of supporting the transition of South Derbyshire t</w:t>
            </w:r>
            <w:r w:rsidR="0092784D">
              <w:t>axi’s to low carbon emission</w:t>
            </w:r>
            <w:r>
              <w:t xml:space="preserve"> vehicles. </w:t>
            </w:r>
          </w:p>
        </w:tc>
      </w:tr>
      <w:tr w:rsidR="00811652" w:rsidRPr="002967D8" w14:paraId="1735562C" w14:textId="77777777" w:rsidTr="00F3735F">
        <w:tc>
          <w:tcPr>
            <w:tcW w:w="3307" w:type="dxa"/>
            <w:vAlign w:val="center"/>
          </w:tcPr>
          <w:p w14:paraId="5C5EBC70" w14:textId="1FCC6CCF" w:rsidR="00811652" w:rsidRPr="00811652" w:rsidRDefault="00811652" w:rsidP="00F3735F">
            <w:pPr>
              <w:rPr>
                <w:b/>
                <w:bCs/>
              </w:rPr>
            </w:pPr>
            <w:r>
              <w:rPr>
                <w:b/>
                <w:bCs/>
              </w:rPr>
              <w:t>Planning and Land use</w:t>
            </w:r>
          </w:p>
        </w:tc>
        <w:tc>
          <w:tcPr>
            <w:tcW w:w="6429" w:type="dxa"/>
            <w:vAlign w:val="center"/>
          </w:tcPr>
          <w:p w14:paraId="396FF5CC" w14:textId="77777777" w:rsidR="00811652" w:rsidRDefault="00811652" w:rsidP="00F3735F"/>
        </w:tc>
      </w:tr>
      <w:tr w:rsidR="00876BFF" w:rsidRPr="002967D8" w14:paraId="44DA1732" w14:textId="77777777" w:rsidTr="00F3735F">
        <w:tc>
          <w:tcPr>
            <w:tcW w:w="3307" w:type="dxa"/>
            <w:vAlign w:val="center"/>
          </w:tcPr>
          <w:p w14:paraId="76218056" w14:textId="46C2E617" w:rsidR="00876BFF" w:rsidRPr="002967D8" w:rsidRDefault="0092784D" w:rsidP="00F3735F">
            <w:r>
              <w:t xml:space="preserve">Renewable energy monitoring </w:t>
            </w:r>
          </w:p>
        </w:tc>
        <w:tc>
          <w:tcPr>
            <w:tcW w:w="6429" w:type="dxa"/>
            <w:vAlign w:val="center"/>
          </w:tcPr>
          <w:p w14:paraId="7E4554FB" w14:textId="32CC666E" w:rsidR="00876BFF" w:rsidRPr="002967D8" w:rsidRDefault="0092784D" w:rsidP="00F3735F">
            <w:r>
              <w:t xml:space="preserve">Monitor and track renewable energy development across South Derbyshire </w:t>
            </w:r>
          </w:p>
        </w:tc>
      </w:tr>
      <w:tr w:rsidR="00876BFF" w:rsidRPr="002967D8" w14:paraId="48AE48F6" w14:textId="77777777" w:rsidTr="00F3735F">
        <w:tc>
          <w:tcPr>
            <w:tcW w:w="3307" w:type="dxa"/>
            <w:vAlign w:val="center"/>
          </w:tcPr>
          <w:p w14:paraId="3D980B49" w14:textId="65222B1D" w:rsidR="00876BFF" w:rsidRPr="002967D8" w:rsidRDefault="00587A61" w:rsidP="00F3735F">
            <w:r>
              <w:t>New Economic Development Plan (ISP19)</w:t>
            </w:r>
          </w:p>
        </w:tc>
        <w:tc>
          <w:tcPr>
            <w:tcW w:w="6429" w:type="dxa"/>
            <w:vAlign w:val="center"/>
          </w:tcPr>
          <w:p w14:paraId="0CF5B1AF" w14:textId="52CD12C0" w:rsidR="00876BFF" w:rsidRPr="002967D8" w:rsidRDefault="00587A61" w:rsidP="00F3735F">
            <w:r>
              <w:t>Embed carbon emission reductions into the new Economic Development Plan</w:t>
            </w:r>
          </w:p>
        </w:tc>
      </w:tr>
      <w:tr w:rsidR="00587A61" w:rsidRPr="002967D8" w14:paraId="68E8CF81" w14:textId="77777777" w:rsidTr="00F3735F">
        <w:tc>
          <w:tcPr>
            <w:tcW w:w="3307" w:type="dxa"/>
            <w:vAlign w:val="center"/>
          </w:tcPr>
          <w:p w14:paraId="072037BA" w14:textId="3CE102F8" w:rsidR="00587A61" w:rsidRDefault="00587A61" w:rsidP="00F3735F">
            <w:r>
              <w:t>Green Tourism DSP10</w:t>
            </w:r>
          </w:p>
        </w:tc>
        <w:tc>
          <w:tcPr>
            <w:tcW w:w="6429" w:type="dxa"/>
            <w:vAlign w:val="center"/>
          </w:tcPr>
          <w:p w14:paraId="7A0690AA" w14:textId="6B79859D" w:rsidR="00587A61" w:rsidRDefault="00587A61" w:rsidP="00F3735F">
            <w:r>
              <w:t xml:space="preserve">Support the promotion of green tourism throughout South Derbyshire </w:t>
            </w:r>
          </w:p>
        </w:tc>
      </w:tr>
      <w:tr w:rsidR="00811652" w:rsidRPr="002967D8" w14:paraId="1B062332" w14:textId="77777777" w:rsidTr="00F3735F">
        <w:tc>
          <w:tcPr>
            <w:tcW w:w="3307" w:type="dxa"/>
            <w:vAlign w:val="center"/>
          </w:tcPr>
          <w:p w14:paraId="0366BC70" w14:textId="4332EDE5" w:rsidR="00811652" w:rsidRPr="00811652" w:rsidRDefault="00811652" w:rsidP="00F3735F">
            <w:pPr>
              <w:rPr>
                <w:b/>
                <w:bCs/>
              </w:rPr>
            </w:pPr>
            <w:r>
              <w:rPr>
                <w:b/>
                <w:bCs/>
              </w:rPr>
              <w:t xml:space="preserve">Buildings and Heating </w:t>
            </w:r>
          </w:p>
        </w:tc>
        <w:tc>
          <w:tcPr>
            <w:tcW w:w="6429" w:type="dxa"/>
            <w:vAlign w:val="center"/>
          </w:tcPr>
          <w:p w14:paraId="1757B6A2" w14:textId="77777777" w:rsidR="00811652" w:rsidRDefault="00811652" w:rsidP="00F3735F"/>
        </w:tc>
      </w:tr>
      <w:tr w:rsidR="00373A71" w:rsidRPr="002967D8" w14:paraId="0F87C50F" w14:textId="77777777" w:rsidTr="00F3735F">
        <w:tc>
          <w:tcPr>
            <w:tcW w:w="3307" w:type="dxa"/>
            <w:vAlign w:val="center"/>
          </w:tcPr>
          <w:p w14:paraId="3D569E21" w14:textId="45DE7F5A" w:rsidR="00373A71" w:rsidRDefault="00464C0C" w:rsidP="00F3735F">
            <w:r>
              <w:t xml:space="preserve">Improving </w:t>
            </w:r>
            <w:r w:rsidR="00373A71">
              <w:t>Stock condition data ISP1</w:t>
            </w:r>
          </w:p>
        </w:tc>
        <w:tc>
          <w:tcPr>
            <w:tcW w:w="6429" w:type="dxa"/>
            <w:vAlign w:val="center"/>
          </w:tcPr>
          <w:p w14:paraId="3EFD1E7F" w14:textId="67E9C5E1" w:rsidR="00373A71" w:rsidRDefault="00373A71" w:rsidP="00F3735F">
            <w:r>
              <w:t>Ongoing improvement/digitalisation of the Housing Stock Condition data</w:t>
            </w:r>
          </w:p>
        </w:tc>
      </w:tr>
      <w:tr w:rsidR="00373A71" w:rsidRPr="002967D8" w14:paraId="76192C81" w14:textId="77777777" w:rsidTr="00F3735F">
        <w:tc>
          <w:tcPr>
            <w:tcW w:w="3307" w:type="dxa"/>
            <w:vAlign w:val="center"/>
          </w:tcPr>
          <w:p w14:paraId="0E546885" w14:textId="2B71C01C" w:rsidR="00373A71" w:rsidRDefault="00373A71" w:rsidP="00F3735F">
            <w:r>
              <w:lastRenderedPageBreak/>
              <w:t xml:space="preserve">Low carbon heating education </w:t>
            </w:r>
          </w:p>
        </w:tc>
        <w:tc>
          <w:tcPr>
            <w:tcW w:w="6429" w:type="dxa"/>
            <w:vAlign w:val="center"/>
          </w:tcPr>
          <w:p w14:paraId="573A63F2" w14:textId="55E466DE" w:rsidR="00373A71" w:rsidRDefault="00373A71" w:rsidP="00F3735F">
            <w:r>
              <w:t>Guidance for Housing Tenants that are switching to low carbon heating</w:t>
            </w:r>
          </w:p>
        </w:tc>
      </w:tr>
      <w:tr w:rsidR="00811652" w:rsidRPr="002967D8" w14:paraId="1FA8D4A8" w14:textId="77777777" w:rsidTr="00F3735F">
        <w:tc>
          <w:tcPr>
            <w:tcW w:w="3307" w:type="dxa"/>
            <w:vAlign w:val="center"/>
          </w:tcPr>
          <w:p w14:paraId="0E2894A9" w14:textId="2DDB91F4" w:rsidR="00811652" w:rsidRPr="00811652" w:rsidRDefault="00811652" w:rsidP="00F3735F">
            <w:pPr>
              <w:rPr>
                <w:b/>
                <w:bCs/>
              </w:rPr>
            </w:pPr>
            <w:r>
              <w:rPr>
                <w:b/>
                <w:bCs/>
              </w:rPr>
              <w:t>Governance and Finance</w:t>
            </w:r>
          </w:p>
        </w:tc>
        <w:tc>
          <w:tcPr>
            <w:tcW w:w="6429" w:type="dxa"/>
            <w:vAlign w:val="center"/>
          </w:tcPr>
          <w:p w14:paraId="45DBE339" w14:textId="77777777" w:rsidR="00811652" w:rsidRDefault="00811652" w:rsidP="00F3735F"/>
        </w:tc>
      </w:tr>
      <w:tr w:rsidR="00EB2A49" w:rsidRPr="002967D8" w14:paraId="03CB4590" w14:textId="77777777" w:rsidTr="00F3735F">
        <w:tc>
          <w:tcPr>
            <w:tcW w:w="3307" w:type="dxa"/>
            <w:vAlign w:val="center"/>
          </w:tcPr>
          <w:p w14:paraId="11B1D75D" w14:textId="231CC8D1" w:rsidR="00EB2A49" w:rsidRDefault="00EB2A49" w:rsidP="00F3735F">
            <w:r>
              <w:t>Equality, diversity and inclusion</w:t>
            </w:r>
          </w:p>
        </w:tc>
        <w:tc>
          <w:tcPr>
            <w:tcW w:w="6429" w:type="dxa"/>
            <w:vAlign w:val="center"/>
          </w:tcPr>
          <w:p w14:paraId="6E9FCEBE" w14:textId="020422A1" w:rsidR="00EB2A49" w:rsidRDefault="00EB2A49" w:rsidP="00F3735F">
            <w:r>
              <w:t xml:space="preserve">EDI impact assessment of Climate and Environment Actions </w:t>
            </w:r>
          </w:p>
        </w:tc>
      </w:tr>
      <w:tr w:rsidR="009F03AC" w:rsidRPr="002967D8" w14:paraId="1670B923" w14:textId="77777777" w:rsidTr="00F3735F">
        <w:tc>
          <w:tcPr>
            <w:tcW w:w="3307" w:type="dxa"/>
            <w:vAlign w:val="center"/>
          </w:tcPr>
          <w:p w14:paraId="6A89968A" w14:textId="244C4C73" w:rsidR="009F03AC" w:rsidRDefault="009F03AC" w:rsidP="00F3735F">
            <w:r>
              <w:t>Climate Adaption actions</w:t>
            </w:r>
          </w:p>
        </w:tc>
        <w:tc>
          <w:tcPr>
            <w:tcW w:w="6429" w:type="dxa"/>
            <w:vAlign w:val="center"/>
          </w:tcPr>
          <w:p w14:paraId="3B611508" w14:textId="0FDBE429" w:rsidR="009F03AC" w:rsidRDefault="009F03AC" w:rsidP="00F3735F">
            <w:r>
              <w:t>Add a Climate Adaption category to the Climate and Environment Action Plan (Tree planting and Flooding measures)</w:t>
            </w:r>
          </w:p>
        </w:tc>
      </w:tr>
      <w:tr w:rsidR="00811652" w:rsidRPr="002967D8" w14:paraId="0C5613AF" w14:textId="77777777" w:rsidTr="00F3735F">
        <w:tc>
          <w:tcPr>
            <w:tcW w:w="3307" w:type="dxa"/>
            <w:vAlign w:val="center"/>
          </w:tcPr>
          <w:p w14:paraId="3EA249A7" w14:textId="779AECED" w:rsidR="00811652" w:rsidRPr="00811652" w:rsidRDefault="00811652" w:rsidP="00F3735F">
            <w:pPr>
              <w:rPr>
                <w:b/>
                <w:bCs/>
              </w:rPr>
            </w:pPr>
            <w:r w:rsidRPr="00811652">
              <w:rPr>
                <w:b/>
                <w:bCs/>
              </w:rPr>
              <w:t>Partnership/Communication</w:t>
            </w:r>
          </w:p>
        </w:tc>
        <w:tc>
          <w:tcPr>
            <w:tcW w:w="6429" w:type="dxa"/>
            <w:vAlign w:val="center"/>
          </w:tcPr>
          <w:p w14:paraId="72F06B6C" w14:textId="77777777" w:rsidR="00811652" w:rsidRDefault="00811652" w:rsidP="00F3735F"/>
        </w:tc>
      </w:tr>
      <w:tr w:rsidR="009F03AC" w:rsidRPr="002967D8" w14:paraId="175951D3" w14:textId="77777777" w:rsidTr="00F3735F">
        <w:tc>
          <w:tcPr>
            <w:tcW w:w="3307" w:type="dxa"/>
            <w:vAlign w:val="center"/>
          </w:tcPr>
          <w:p w14:paraId="6A4DF599" w14:textId="0B454E36" w:rsidR="009F03AC" w:rsidRDefault="009F03AC" w:rsidP="00F3735F">
            <w:r>
              <w:t>Energy consumption advice for South Derbyshire residents</w:t>
            </w:r>
          </w:p>
        </w:tc>
        <w:tc>
          <w:tcPr>
            <w:tcW w:w="6429" w:type="dxa"/>
            <w:vAlign w:val="center"/>
          </w:tcPr>
          <w:p w14:paraId="4BD3CC81" w14:textId="38420163" w:rsidR="009F03AC" w:rsidRDefault="009F03AC" w:rsidP="00F3735F">
            <w:r>
              <w:t xml:space="preserve">Create a communication/signposting channel detailing energy consumption reduction advice for residents in South Derbyshire </w:t>
            </w:r>
          </w:p>
        </w:tc>
      </w:tr>
      <w:tr w:rsidR="001F57EE" w:rsidRPr="002967D8" w14:paraId="46234B82" w14:textId="77777777" w:rsidTr="00F3735F">
        <w:tc>
          <w:tcPr>
            <w:tcW w:w="3307" w:type="dxa"/>
            <w:vAlign w:val="center"/>
          </w:tcPr>
          <w:p w14:paraId="34CCD6F9" w14:textId="72FEFA73" w:rsidR="001F57EE" w:rsidRDefault="001F57EE" w:rsidP="00F3735F">
            <w:r>
              <w:t xml:space="preserve">Setting up a Low Carbon Homes Team </w:t>
            </w:r>
          </w:p>
        </w:tc>
        <w:tc>
          <w:tcPr>
            <w:tcW w:w="6429" w:type="dxa"/>
            <w:vAlign w:val="center"/>
          </w:tcPr>
          <w:p w14:paraId="315FE00E" w14:textId="2840CA00" w:rsidR="001F57EE" w:rsidRDefault="00741BD8" w:rsidP="00F3735F">
            <w:r>
              <w:t xml:space="preserve">Creating a Low Carbon Homes Team that supports the delivery of the decarbonisation of both the public and private sector housing throughout South Derbyshire. </w:t>
            </w:r>
          </w:p>
        </w:tc>
      </w:tr>
    </w:tbl>
    <w:p w14:paraId="6417810A" w14:textId="589234CB" w:rsidR="00876BFF" w:rsidRDefault="00876BFF" w:rsidP="00893226">
      <w:pPr>
        <w:tabs>
          <w:tab w:val="left" w:pos="1100"/>
        </w:tabs>
      </w:pPr>
    </w:p>
    <w:p w14:paraId="1170F5A0" w14:textId="6264566D" w:rsidR="001619F7" w:rsidRDefault="000F52F8" w:rsidP="000F52F8">
      <w:pPr>
        <w:pStyle w:val="Heading2"/>
      </w:pPr>
      <w:r>
        <w:t>1.6</w:t>
      </w:r>
      <w:r w:rsidR="004213F6">
        <w:t xml:space="preserve"> Summary</w:t>
      </w:r>
      <w:r>
        <w:t xml:space="preserve"> of r</w:t>
      </w:r>
      <w:r w:rsidR="008140F6">
        <w:t xml:space="preserve">ecommendations </w:t>
      </w:r>
      <w:r>
        <w:t>for C&amp;E Action Plans 2022/23</w:t>
      </w:r>
    </w:p>
    <w:p w14:paraId="26FE703C" w14:textId="6FFBEBF9" w:rsidR="004213F6" w:rsidRPr="004213F6" w:rsidRDefault="00E76F4D" w:rsidP="004213F6">
      <w:r>
        <w:t xml:space="preserve">These are the recommendations from this 2021/22 review of the C&amp;E Action Plan 2021-30 that should be incorporated into the 2022/23 version. </w:t>
      </w:r>
    </w:p>
    <w:tbl>
      <w:tblPr>
        <w:tblStyle w:val="TableGrid"/>
        <w:tblW w:w="0" w:type="auto"/>
        <w:tblLook w:val="04A0" w:firstRow="1" w:lastRow="0" w:firstColumn="1" w:lastColumn="0" w:noHBand="0" w:noVBand="1"/>
      </w:tblPr>
      <w:tblGrid>
        <w:gridCol w:w="846"/>
        <w:gridCol w:w="8890"/>
      </w:tblGrid>
      <w:tr w:rsidR="001619F7" w14:paraId="7A36DCBA" w14:textId="77777777" w:rsidTr="00E173E1">
        <w:tc>
          <w:tcPr>
            <w:tcW w:w="846" w:type="dxa"/>
            <w:shd w:val="clear" w:color="auto" w:fill="A6A6A6" w:themeFill="background1" w:themeFillShade="A6"/>
          </w:tcPr>
          <w:p w14:paraId="358BBA4A" w14:textId="77777777" w:rsidR="001619F7" w:rsidRPr="00E173E1" w:rsidRDefault="001619F7" w:rsidP="004213F6">
            <w:pPr>
              <w:rPr>
                <w:b/>
                <w:bCs/>
              </w:rPr>
            </w:pPr>
          </w:p>
        </w:tc>
        <w:tc>
          <w:tcPr>
            <w:tcW w:w="8890" w:type="dxa"/>
            <w:shd w:val="clear" w:color="auto" w:fill="A6A6A6" w:themeFill="background1" w:themeFillShade="A6"/>
          </w:tcPr>
          <w:p w14:paraId="4C768771" w14:textId="31F0FC56" w:rsidR="001619F7" w:rsidRPr="00E173E1" w:rsidRDefault="00E76F4D" w:rsidP="00AC7D1C">
            <w:pPr>
              <w:rPr>
                <w:b/>
                <w:bCs/>
              </w:rPr>
            </w:pPr>
            <w:r w:rsidRPr="00E173E1">
              <w:rPr>
                <w:b/>
                <w:bCs/>
              </w:rPr>
              <w:t>Recommendations</w:t>
            </w:r>
          </w:p>
        </w:tc>
      </w:tr>
      <w:tr w:rsidR="001619F7" w14:paraId="68E276FA" w14:textId="77777777" w:rsidTr="00AC7D1C">
        <w:tc>
          <w:tcPr>
            <w:tcW w:w="846" w:type="dxa"/>
          </w:tcPr>
          <w:p w14:paraId="25BED43E" w14:textId="77777777" w:rsidR="001619F7" w:rsidRDefault="001619F7" w:rsidP="00AC7D1C">
            <w:r>
              <w:t>1</w:t>
            </w:r>
          </w:p>
        </w:tc>
        <w:tc>
          <w:tcPr>
            <w:tcW w:w="8890" w:type="dxa"/>
          </w:tcPr>
          <w:p w14:paraId="24E10DFD" w14:textId="298158BC" w:rsidR="001619F7" w:rsidRDefault="00E76F4D" w:rsidP="00AC7D1C">
            <w:r>
              <w:t xml:space="preserve">Transformation Actions </w:t>
            </w:r>
            <w:r w:rsidR="005D19EC">
              <w:t>–</w:t>
            </w:r>
            <w:r w:rsidR="00E173E1">
              <w:t xml:space="preserve"> </w:t>
            </w:r>
            <w:r w:rsidR="002E309A">
              <w:t xml:space="preserve">Although initial wok on scoping </w:t>
            </w:r>
            <w:r w:rsidR="00B35972">
              <w:t>most of</w:t>
            </w:r>
            <w:r w:rsidR="002E309A">
              <w:t xml:space="preserve"> these Transformation actions is complete, it is recommended that</w:t>
            </w:r>
            <w:r w:rsidR="005D19EC">
              <w:t xml:space="preserve"> focus </w:t>
            </w:r>
            <w:r w:rsidR="00E173E1">
              <w:t>and</w:t>
            </w:r>
            <w:r w:rsidR="005D19EC">
              <w:t xml:space="preserve"> </w:t>
            </w:r>
            <w:r w:rsidR="00E173E1">
              <w:t xml:space="preserve">decision making </w:t>
            </w:r>
            <w:r w:rsidR="005D19EC">
              <w:t>on high-cost action</w:t>
            </w:r>
            <w:r w:rsidR="00E173E1">
              <w:t xml:space="preserve">s </w:t>
            </w:r>
            <w:r w:rsidR="001D0324">
              <w:t xml:space="preserve">should continue </w:t>
            </w:r>
            <w:r w:rsidR="00E173E1">
              <w:t xml:space="preserve">over the 2022/23 period to </w:t>
            </w:r>
            <w:r w:rsidR="001619F7">
              <w:t xml:space="preserve">ensure carbon emissions from the high emitting sources </w:t>
            </w:r>
            <w:r w:rsidR="001D0324">
              <w:t xml:space="preserve">are </w:t>
            </w:r>
            <w:r w:rsidR="001619F7">
              <w:t xml:space="preserve">reduced </w:t>
            </w:r>
            <w:r w:rsidR="00124687">
              <w:t>with the intention of carbon neutral being delivered by 2030.</w:t>
            </w:r>
          </w:p>
        </w:tc>
      </w:tr>
      <w:tr w:rsidR="001619F7" w14:paraId="5B0CA009" w14:textId="77777777" w:rsidTr="00AC7D1C">
        <w:tc>
          <w:tcPr>
            <w:tcW w:w="846" w:type="dxa"/>
          </w:tcPr>
          <w:p w14:paraId="52FB4D61" w14:textId="77777777" w:rsidR="001619F7" w:rsidRDefault="001619F7" w:rsidP="00AC7D1C">
            <w:r>
              <w:t>2</w:t>
            </w:r>
          </w:p>
        </w:tc>
        <w:tc>
          <w:tcPr>
            <w:tcW w:w="8890" w:type="dxa"/>
          </w:tcPr>
          <w:p w14:paraId="285B8BBD" w14:textId="21E578CB" w:rsidR="001619F7" w:rsidRDefault="00E76F4D" w:rsidP="00464C0C">
            <w:r>
              <w:t>The</w:t>
            </w:r>
            <w:r w:rsidR="001619F7">
              <w:t xml:space="preserve"> </w:t>
            </w:r>
            <w:r w:rsidR="005D19EC">
              <w:t xml:space="preserve">service </w:t>
            </w:r>
            <w:r w:rsidR="001619F7">
              <w:t>actions that are classed as ‘</w:t>
            </w:r>
            <w:r w:rsidR="001D0324">
              <w:t xml:space="preserve">action planning has commenced but delivery </w:t>
            </w:r>
            <w:r w:rsidR="001619F7">
              <w:t xml:space="preserve">not started’ are prioritised to ensure they are </w:t>
            </w:r>
            <w:r w:rsidR="00464C0C">
              <w:t xml:space="preserve">moved through to </w:t>
            </w:r>
            <w:r w:rsidR="001D0324">
              <w:t xml:space="preserve">delivery </w:t>
            </w:r>
            <w:r w:rsidR="001619F7">
              <w:t xml:space="preserve">‘in-progress’ </w:t>
            </w:r>
            <w:r w:rsidR="00464C0C">
              <w:t xml:space="preserve">by the close </w:t>
            </w:r>
            <w:r w:rsidR="005D19EC">
              <w:t>of 2022</w:t>
            </w:r>
            <w:r w:rsidR="001619F7">
              <w:t xml:space="preserve">/23. </w:t>
            </w:r>
          </w:p>
        </w:tc>
      </w:tr>
      <w:tr w:rsidR="001619F7" w14:paraId="488C1ABE" w14:textId="77777777" w:rsidTr="00AC7D1C">
        <w:tc>
          <w:tcPr>
            <w:tcW w:w="846" w:type="dxa"/>
          </w:tcPr>
          <w:p w14:paraId="0E6452F6" w14:textId="77777777" w:rsidR="001619F7" w:rsidRDefault="001619F7" w:rsidP="00AC7D1C">
            <w:r>
              <w:t>3</w:t>
            </w:r>
          </w:p>
        </w:tc>
        <w:tc>
          <w:tcPr>
            <w:tcW w:w="8890" w:type="dxa"/>
          </w:tcPr>
          <w:p w14:paraId="654CA613" w14:textId="00D75E34" w:rsidR="001619F7" w:rsidRDefault="00811652" w:rsidP="00464C0C">
            <w:r>
              <w:t>The completed</w:t>
            </w:r>
            <w:r w:rsidR="001619F7">
              <w:t xml:space="preserve"> actions should be </w:t>
            </w:r>
            <w:r w:rsidR="00464C0C">
              <w:t xml:space="preserve">recorded as ‘complete’ and </w:t>
            </w:r>
            <w:r w:rsidR="002E309A">
              <w:t xml:space="preserve">continue to be included in </w:t>
            </w:r>
            <w:r w:rsidR="00124687">
              <w:t>t</w:t>
            </w:r>
            <w:r w:rsidR="001619F7">
              <w:t xml:space="preserve">he C&amp;E Action Plan </w:t>
            </w:r>
            <w:r w:rsidR="001D0324">
              <w:t xml:space="preserve">as an appendix </w:t>
            </w:r>
            <w:r w:rsidR="002E309A">
              <w:t xml:space="preserve">along </w:t>
            </w:r>
            <w:r w:rsidR="001D0324">
              <w:t xml:space="preserve">to demonstrate the successful progress SDDC are making along </w:t>
            </w:r>
            <w:r w:rsidR="00124687">
              <w:t>with other</w:t>
            </w:r>
            <w:r w:rsidR="00464C0C">
              <w:t xml:space="preserve"> additional </w:t>
            </w:r>
            <w:r w:rsidR="001619F7">
              <w:t>actions</w:t>
            </w:r>
            <w:r w:rsidR="00464C0C">
              <w:t xml:space="preserve"> highlighted as necessary in this review. </w:t>
            </w:r>
          </w:p>
        </w:tc>
      </w:tr>
      <w:tr w:rsidR="001619F7" w14:paraId="21EFF079" w14:textId="77777777" w:rsidTr="00AC7D1C">
        <w:tc>
          <w:tcPr>
            <w:tcW w:w="846" w:type="dxa"/>
          </w:tcPr>
          <w:p w14:paraId="71B148DB" w14:textId="5949DDE3" w:rsidR="001619F7" w:rsidRDefault="00D91C0B" w:rsidP="00AC7D1C">
            <w:r>
              <w:t>4</w:t>
            </w:r>
          </w:p>
        </w:tc>
        <w:tc>
          <w:tcPr>
            <w:tcW w:w="8890" w:type="dxa"/>
          </w:tcPr>
          <w:p w14:paraId="3944DD70" w14:textId="77777777" w:rsidR="001619F7" w:rsidRDefault="001619F7" w:rsidP="00AC7D1C">
            <w:r>
              <w:t>The success of the 18 actions detailed are showcased as part of SDDC’s demonstration of the work it is doing to reduce the carbon emissions resulting from its own activities and support the reduction of emissions across South Derbyshire</w:t>
            </w:r>
          </w:p>
        </w:tc>
      </w:tr>
      <w:tr w:rsidR="001619F7" w14:paraId="3DCFFA9F" w14:textId="77777777" w:rsidTr="00AC7D1C">
        <w:tc>
          <w:tcPr>
            <w:tcW w:w="846" w:type="dxa"/>
          </w:tcPr>
          <w:p w14:paraId="0CE9232F" w14:textId="7529994A" w:rsidR="001619F7" w:rsidRDefault="00D91C0B" w:rsidP="00AC7D1C">
            <w:r>
              <w:t>5</w:t>
            </w:r>
          </w:p>
        </w:tc>
        <w:tc>
          <w:tcPr>
            <w:tcW w:w="8890" w:type="dxa"/>
          </w:tcPr>
          <w:p w14:paraId="66F771A7" w14:textId="495B394E" w:rsidR="001619F7" w:rsidRDefault="001619F7" w:rsidP="00AC7D1C">
            <w:r>
              <w:t>The 1</w:t>
            </w:r>
            <w:r w:rsidR="00074EA2">
              <w:t>2</w:t>
            </w:r>
            <w:r>
              <w:t xml:space="preserve"> new </w:t>
            </w:r>
            <w:r w:rsidR="00464C0C">
              <w:t xml:space="preserve">additional </w:t>
            </w:r>
            <w:r>
              <w:t xml:space="preserve">actions recommended </w:t>
            </w:r>
            <w:r w:rsidR="00B35972">
              <w:t>because of</w:t>
            </w:r>
            <w:r>
              <w:t xml:space="preserve"> this review should be incorporated into the</w:t>
            </w:r>
            <w:r w:rsidR="00074EA2">
              <w:t xml:space="preserve"> current 55 actions as part of the</w:t>
            </w:r>
            <w:r>
              <w:t xml:space="preserve"> C&amp;E Action Plan for 2022/23 </w:t>
            </w:r>
          </w:p>
        </w:tc>
      </w:tr>
      <w:tr w:rsidR="001619F7" w14:paraId="181B42A0" w14:textId="77777777" w:rsidTr="00AC7D1C">
        <w:tc>
          <w:tcPr>
            <w:tcW w:w="846" w:type="dxa"/>
          </w:tcPr>
          <w:p w14:paraId="6ECE6F44" w14:textId="61F543F0" w:rsidR="001619F7" w:rsidRDefault="00D91C0B" w:rsidP="00AC7D1C">
            <w:r>
              <w:t>6</w:t>
            </w:r>
          </w:p>
        </w:tc>
        <w:tc>
          <w:tcPr>
            <w:tcW w:w="8890" w:type="dxa"/>
          </w:tcPr>
          <w:p w14:paraId="008F64D0" w14:textId="3F9B38FD" w:rsidR="001619F7" w:rsidRDefault="00074EA2" w:rsidP="00AC7D1C">
            <w:r>
              <w:t>T</w:t>
            </w:r>
            <w:r w:rsidR="0088227C">
              <w:t xml:space="preserve">he co-benefit of reducing carbon emissions </w:t>
            </w:r>
            <w:r>
              <w:t>should be clearly detailed in each of the 55 actions and t</w:t>
            </w:r>
            <w:r w:rsidR="0088227C">
              <w:t xml:space="preserve">he reduction of energy consumption </w:t>
            </w:r>
            <w:r w:rsidR="00B43C60">
              <w:t>and</w:t>
            </w:r>
            <w:r w:rsidR="0088227C">
              <w:t xml:space="preserve"> subsequent operational costs</w:t>
            </w:r>
            <w:r>
              <w:t xml:space="preserve"> should be highlighted</w:t>
            </w:r>
          </w:p>
        </w:tc>
      </w:tr>
      <w:tr w:rsidR="001619F7" w14:paraId="478D7128" w14:textId="77777777" w:rsidTr="00AC7D1C">
        <w:tc>
          <w:tcPr>
            <w:tcW w:w="846" w:type="dxa"/>
          </w:tcPr>
          <w:p w14:paraId="68D7BD67" w14:textId="3590326E" w:rsidR="001619F7" w:rsidRDefault="00D91C0B" w:rsidP="00AC7D1C">
            <w:r>
              <w:t>7</w:t>
            </w:r>
          </w:p>
        </w:tc>
        <w:tc>
          <w:tcPr>
            <w:tcW w:w="8890" w:type="dxa"/>
          </w:tcPr>
          <w:p w14:paraId="378A167C" w14:textId="3DA4B1AC" w:rsidR="001619F7" w:rsidRDefault="00074EA2" w:rsidP="00AC7D1C">
            <w:r>
              <w:t>An Equality, d</w:t>
            </w:r>
            <w:r w:rsidR="001350C4">
              <w:t xml:space="preserve">iversity and </w:t>
            </w:r>
            <w:r>
              <w:t>i</w:t>
            </w:r>
            <w:r w:rsidR="001350C4">
              <w:t>nclusion</w:t>
            </w:r>
            <w:r>
              <w:t xml:space="preserve"> feasibility should </w:t>
            </w:r>
            <w:r w:rsidR="00205616">
              <w:t>be completed</w:t>
            </w:r>
            <w:r>
              <w:t xml:space="preserve"> on the </w:t>
            </w:r>
            <w:r w:rsidR="001350C4">
              <w:t>C&amp;E Action Plan</w:t>
            </w:r>
            <w:r>
              <w:t xml:space="preserve">, indicating which residents of South Derbyshire </w:t>
            </w:r>
            <w:r w:rsidR="001350C4">
              <w:t>will be most impacted by climate change and how the Council intends to focus resources to support vulnerable communities</w:t>
            </w:r>
            <w:r w:rsidR="00205616">
              <w:t>.</w:t>
            </w:r>
          </w:p>
        </w:tc>
      </w:tr>
      <w:tr w:rsidR="001619F7" w14:paraId="58188F97" w14:textId="77777777" w:rsidTr="00AC7D1C">
        <w:tc>
          <w:tcPr>
            <w:tcW w:w="846" w:type="dxa"/>
          </w:tcPr>
          <w:p w14:paraId="183AEAC5" w14:textId="1E006AC3" w:rsidR="001619F7" w:rsidRDefault="00D91C0B" w:rsidP="00AC7D1C">
            <w:r>
              <w:t>8</w:t>
            </w:r>
          </w:p>
        </w:tc>
        <w:tc>
          <w:tcPr>
            <w:tcW w:w="8890" w:type="dxa"/>
          </w:tcPr>
          <w:p w14:paraId="274D35E0" w14:textId="7C9B1619" w:rsidR="001619F7" w:rsidRDefault="001350C4" w:rsidP="00205616">
            <w:r>
              <w:t xml:space="preserve">Education, skills and training of Climate and Environment </w:t>
            </w:r>
            <w:r w:rsidR="00205616">
              <w:t>should be continually improved, especially</w:t>
            </w:r>
            <w:r>
              <w:t xml:space="preserve"> carbon literacy training for councillors and </w:t>
            </w:r>
            <w:r w:rsidR="00205616">
              <w:t xml:space="preserve">awareness </w:t>
            </w:r>
            <w:r>
              <w:t xml:space="preserve">for the public. </w:t>
            </w:r>
          </w:p>
        </w:tc>
      </w:tr>
      <w:tr w:rsidR="001350C4" w14:paraId="2123818C" w14:textId="77777777" w:rsidTr="00AC7D1C">
        <w:tc>
          <w:tcPr>
            <w:tcW w:w="846" w:type="dxa"/>
          </w:tcPr>
          <w:p w14:paraId="073BF2AA" w14:textId="7E3E2CAB" w:rsidR="001350C4" w:rsidRDefault="00D91C0B" w:rsidP="00AC7D1C">
            <w:r>
              <w:t>9</w:t>
            </w:r>
          </w:p>
        </w:tc>
        <w:tc>
          <w:tcPr>
            <w:tcW w:w="8890" w:type="dxa"/>
          </w:tcPr>
          <w:p w14:paraId="21D91C68" w14:textId="7E31AA66" w:rsidR="001350C4" w:rsidRDefault="00205616" w:rsidP="00205616">
            <w:r>
              <w:t>T</w:t>
            </w:r>
            <w:r w:rsidR="001350C4">
              <w:t xml:space="preserve">he highest </w:t>
            </w:r>
            <w:r>
              <w:t xml:space="preserve">in-house </w:t>
            </w:r>
            <w:r w:rsidR="001350C4">
              <w:t>carbon emission sources</w:t>
            </w:r>
            <w:r>
              <w:t xml:space="preserve"> (SDDC Fleet and Heat/Gas consumption) should be prioritised for decarbonisation actions. </w:t>
            </w:r>
          </w:p>
        </w:tc>
      </w:tr>
      <w:tr w:rsidR="001350C4" w14:paraId="7366793A" w14:textId="77777777" w:rsidTr="00AC7D1C">
        <w:tc>
          <w:tcPr>
            <w:tcW w:w="846" w:type="dxa"/>
          </w:tcPr>
          <w:p w14:paraId="24CEC7CC" w14:textId="0DFCE497" w:rsidR="001350C4" w:rsidRDefault="001350C4" w:rsidP="00AC7D1C">
            <w:r>
              <w:t>1</w:t>
            </w:r>
            <w:r w:rsidR="00D91C0B">
              <w:t>0</w:t>
            </w:r>
          </w:p>
        </w:tc>
        <w:tc>
          <w:tcPr>
            <w:tcW w:w="8890" w:type="dxa"/>
          </w:tcPr>
          <w:p w14:paraId="1E27E11C" w14:textId="513BC1F9" w:rsidR="008536E1" w:rsidRDefault="008536E1" w:rsidP="008536E1">
            <w:r>
              <w:t xml:space="preserve">Continued focus on the </w:t>
            </w:r>
            <w:r w:rsidR="001350C4">
              <w:t>hig</w:t>
            </w:r>
            <w:r>
              <w:t xml:space="preserve">h </w:t>
            </w:r>
            <w:r w:rsidR="001350C4">
              <w:t>carbon emission</w:t>
            </w:r>
            <w:r>
              <w:t xml:space="preserve"> </w:t>
            </w:r>
            <w:r w:rsidR="00205616">
              <w:t>Public Building</w:t>
            </w:r>
            <w:r>
              <w:t>:</w:t>
            </w:r>
          </w:p>
          <w:p w14:paraId="18B344C9" w14:textId="767C6B28" w:rsidR="001350C4" w:rsidRDefault="001350C4" w:rsidP="008536E1">
            <w:pPr>
              <w:pStyle w:val="ListParagraph"/>
              <w:numPr>
                <w:ilvl w:val="0"/>
                <w:numId w:val="48"/>
              </w:numPr>
            </w:pPr>
            <w:r>
              <w:t>Greenbank Leisure Centre</w:t>
            </w:r>
          </w:p>
          <w:p w14:paraId="30627FD4" w14:textId="1EAFE193" w:rsidR="001350C4" w:rsidRDefault="001350C4" w:rsidP="008536E1">
            <w:pPr>
              <w:pStyle w:val="ListParagraph"/>
              <w:numPr>
                <w:ilvl w:val="0"/>
                <w:numId w:val="48"/>
              </w:numPr>
            </w:pPr>
            <w:r>
              <w:t>Etwall Leisure Centre</w:t>
            </w:r>
          </w:p>
          <w:p w14:paraId="4DCEB351" w14:textId="77777777" w:rsidR="001350C4" w:rsidRDefault="001350C4" w:rsidP="008536E1">
            <w:pPr>
              <w:pStyle w:val="ListParagraph"/>
              <w:numPr>
                <w:ilvl w:val="0"/>
                <w:numId w:val="48"/>
              </w:numPr>
            </w:pPr>
            <w:r>
              <w:t xml:space="preserve">Rosliston Centre </w:t>
            </w:r>
          </w:p>
          <w:p w14:paraId="5248880A" w14:textId="77777777" w:rsidR="001350C4" w:rsidRDefault="001350C4" w:rsidP="008536E1">
            <w:pPr>
              <w:pStyle w:val="ListParagraph"/>
              <w:numPr>
                <w:ilvl w:val="0"/>
                <w:numId w:val="48"/>
              </w:numPr>
            </w:pPr>
            <w:r>
              <w:t>Civic Offices</w:t>
            </w:r>
          </w:p>
          <w:p w14:paraId="2BD3B228" w14:textId="58B4E629" w:rsidR="008536E1" w:rsidRDefault="008536E1" w:rsidP="008536E1">
            <w:r>
              <w:lastRenderedPageBreak/>
              <w:t xml:space="preserve">The advantage of progressing the carbon reduction action planning </w:t>
            </w:r>
            <w:r w:rsidR="002E6594">
              <w:t xml:space="preserve">and delivery of these locations, especially in the current energy crisis will lead to a reduction in operating costs as well as carbon neutrality progress. </w:t>
            </w:r>
          </w:p>
        </w:tc>
      </w:tr>
      <w:tr w:rsidR="00B15D86" w14:paraId="41C3EADE" w14:textId="77777777" w:rsidTr="00AC7D1C">
        <w:tc>
          <w:tcPr>
            <w:tcW w:w="846" w:type="dxa"/>
          </w:tcPr>
          <w:p w14:paraId="1FF94B94" w14:textId="007B4A7B" w:rsidR="00B15D86" w:rsidRDefault="00B15D86" w:rsidP="00B15D86">
            <w:r>
              <w:lastRenderedPageBreak/>
              <w:t>1</w:t>
            </w:r>
            <w:r w:rsidR="00D91C0B">
              <w:t>1</w:t>
            </w:r>
          </w:p>
        </w:tc>
        <w:tc>
          <w:tcPr>
            <w:tcW w:w="8890" w:type="dxa"/>
          </w:tcPr>
          <w:p w14:paraId="39D52A48" w14:textId="4A2D4780" w:rsidR="00B15D86" w:rsidRDefault="002E6594" w:rsidP="00B15D86">
            <w:r>
              <w:t xml:space="preserve">Awareness of the scale of </w:t>
            </w:r>
            <w:r w:rsidR="008140F6">
              <w:t>SDDC’s Scope</w:t>
            </w:r>
            <w:r w:rsidR="00B15D86">
              <w:t xml:space="preserve"> 3 Supply Chain carbon emissions </w:t>
            </w:r>
            <w:r w:rsidR="005A66A3">
              <w:t>and how these can be reduced</w:t>
            </w:r>
            <w:r>
              <w:t xml:space="preserve"> in a measured way on the journey to 2050. </w:t>
            </w:r>
          </w:p>
        </w:tc>
      </w:tr>
      <w:tr w:rsidR="00B15D86" w14:paraId="40102AE5" w14:textId="77777777" w:rsidTr="00AC7D1C">
        <w:tc>
          <w:tcPr>
            <w:tcW w:w="846" w:type="dxa"/>
          </w:tcPr>
          <w:p w14:paraId="2095838F" w14:textId="31CBFFD6" w:rsidR="00B15D86" w:rsidRDefault="00B15D86" w:rsidP="00B15D86">
            <w:r>
              <w:t>1</w:t>
            </w:r>
            <w:r w:rsidR="00D91C0B">
              <w:t>2</w:t>
            </w:r>
          </w:p>
        </w:tc>
        <w:tc>
          <w:tcPr>
            <w:tcW w:w="8890" w:type="dxa"/>
          </w:tcPr>
          <w:p w14:paraId="22E4D6C6" w14:textId="677AE598" w:rsidR="00B15D86" w:rsidRDefault="00B15D86" w:rsidP="00B15D86">
            <w:r>
              <w:t>Ensure th</w:t>
            </w:r>
            <w:r w:rsidR="002E6594">
              <w:t xml:space="preserve">at continued action is taken on supporting the </w:t>
            </w:r>
            <w:r>
              <w:t xml:space="preserve">District-wide </w:t>
            </w:r>
            <w:r w:rsidR="002E6594">
              <w:t xml:space="preserve">carbon emission reductions and the </w:t>
            </w:r>
            <w:r>
              <w:t>highest District-wide carbon emission sectors</w:t>
            </w:r>
            <w:r w:rsidR="002E6594">
              <w:t xml:space="preserve"> are prioritised. </w:t>
            </w:r>
          </w:p>
        </w:tc>
      </w:tr>
    </w:tbl>
    <w:p w14:paraId="05809F27" w14:textId="2A24C6AD" w:rsidR="001C5536" w:rsidRDefault="001C5536" w:rsidP="001C5536">
      <w:r>
        <w:t xml:space="preserve"> </w:t>
      </w:r>
    </w:p>
    <w:sectPr w:rsidR="001C5536" w:rsidSect="00E45FAA">
      <w:headerReference w:type="default" r:id="rId13"/>
      <w:footerReference w:type="default" r:id="rId14"/>
      <w:headerReference w:type="first" r:id="rId15"/>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6BF81" w14:textId="77777777" w:rsidR="00E24755" w:rsidRDefault="00E24755" w:rsidP="001030EA">
      <w:pPr>
        <w:spacing w:after="0" w:line="240" w:lineRule="auto"/>
      </w:pPr>
      <w:r>
        <w:separator/>
      </w:r>
    </w:p>
  </w:endnote>
  <w:endnote w:type="continuationSeparator" w:id="0">
    <w:p w14:paraId="1F09D32B" w14:textId="77777777" w:rsidR="00E24755" w:rsidRDefault="00E24755" w:rsidP="00103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leo">
    <w:altName w:val="Aleo"/>
    <w:charset w:val="00"/>
    <w:family w:val="auto"/>
    <w:pitch w:val="variable"/>
    <w:sig w:usb0="00000007" w:usb1="00000000" w:usb2="00000000" w:usb3="00000000" w:csb0="00000083"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ndara" w:hAnsi="Candara"/>
        <w:sz w:val="20"/>
        <w:szCs w:val="20"/>
      </w:rPr>
      <w:id w:val="526919456"/>
      <w:docPartObj>
        <w:docPartGallery w:val="Page Numbers (Bottom of Page)"/>
        <w:docPartUnique/>
      </w:docPartObj>
    </w:sdtPr>
    <w:sdtEndPr>
      <w:rPr>
        <w:rFonts w:ascii="Trebuchet MS" w:hAnsi="Trebuchet MS"/>
        <w:noProof/>
      </w:rPr>
    </w:sdtEndPr>
    <w:sdtContent>
      <w:p w14:paraId="4FF56E4C" w14:textId="77777777" w:rsidR="001030EA" w:rsidRPr="00E45FAA" w:rsidRDefault="001030EA" w:rsidP="00E45FAA">
        <w:pPr>
          <w:pStyle w:val="Footer"/>
          <w:rPr>
            <w:rFonts w:ascii="Trebuchet MS" w:hAnsi="Trebuchet MS"/>
            <w:sz w:val="20"/>
            <w:szCs w:val="20"/>
          </w:rPr>
        </w:pPr>
        <w:r w:rsidRPr="00E45FAA">
          <w:rPr>
            <w:rFonts w:ascii="Trebuchet MS" w:hAnsi="Trebuchet MS"/>
            <w:sz w:val="20"/>
            <w:szCs w:val="20"/>
          </w:rPr>
          <w:t xml:space="preserve">Page | </w:t>
        </w:r>
        <w:r w:rsidRPr="00E45FAA">
          <w:rPr>
            <w:rFonts w:ascii="Trebuchet MS" w:hAnsi="Trebuchet MS"/>
            <w:sz w:val="20"/>
            <w:szCs w:val="20"/>
          </w:rPr>
          <w:fldChar w:fldCharType="begin"/>
        </w:r>
        <w:r w:rsidRPr="00E45FAA">
          <w:rPr>
            <w:rFonts w:ascii="Trebuchet MS" w:hAnsi="Trebuchet MS"/>
            <w:sz w:val="20"/>
            <w:szCs w:val="20"/>
          </w:rPr>
          <w:instrText xml:space="preserve"> PAGE   \* MERGEFORMAT </w:instrText>
        </w:r>
        <w:r w:rsidRPr="00E45FAA">
          <w:rPr>
            <w:rFonts w:ascii="Trebuchet MS" w:hAnsi="Trebuchet MS"/>
            <w:sz w:val="20"/>
            <w:szCs w:val="20"/>
          </w:rPr>
          <w:fldChar w:fldCharType="separate"/>
        </w:r>
        <w:r w:rsidR="00D90CF7">
          <w:rPr>
            <w:rFonts w:ascii="Trebuchet MS" w:hAnsi="Trebuchet MS"/>
            <w:noProof/>
            <w:sz w:val="20"/>
            <w:szCs w:val="20"/>
          </w:rPr>
          <w:t>7</w:t>
        </w:r>
        <w:r w:rsidRPr="00E45FAA">
          <w:rPr>
            <w:rFonts w:ascii="Trebuchet MS" w:hAnsi="Trebuchet MS"/>
            <w:noProof/>
            <w:sz w:val="20"/>
            <w:szCs w:val="20"/>
          </w:rPr>
          <w:fldChar w:fldCharType="end"/>
        </w:r>
        <w:r w:rsidRPr="00E45FAA">
          <w:rPr>
            <w:rFonts w:ascii="Trebuchet MS" w:hAnsi="Trebuchet MS"/>
            <w:noProof/>
            <w:sz w:val="20"/>
            <w:szCs w:val="20"/>
          </w:rPr>
          <w:t xml:space="preserve"> | </w:t>
        </w:r>
        <w:r w:rsidRPr="00E45FAA">
          <w:rPr>
            <w:rFonts w:ascii="Trebuchet MS" w:hAnsi="Trebuchet MS"/>
            <w:noProof/>
            <w:sz w:val="20"/>
            <w:szCs w:val="20"/>
          </w:rPr>
          <w:tab/>
        </w:r>
        <w:r w:rsidR="00E45FAA" w:rsidRPr="00E45FAA">
          <w:rPr>
            <w:rFonts w:ascii="Trebuchet MS" w:hAnsi="Trebuchet MS"/>
            <w:noProof/>
            <w:sz w:val="20"/>
            <w:szCs w:val="20"/>
          </w:rPr>
          <w:tab/>
        </w:r>
        <w:r w:rsidR="00E45FAA" w:rsidRPr="00E45FAA">
          <w:rPr>
            <w:rFonts w:ascii="Trebuchet MS" w:hAnsi="Trebuchet MS"/>
            <w:b/>
            <w:noProof/>
            <w:sz w:val="20"/>
            <w:szCs w:val="20"/>
          </w:rPr>
          <w:t>South Derbyshire</w:t>
        </w:r>
        <w:r w:rsidR="00E45FAA" w:rsidRPr="00E45FAA">
          <w:rPr>
            <w:rFonts w:ascii="Trebuchet MS" w:hAnsi="Trebuchet MS"/>
            <w:noProof/>
            <w:sz w:val="20"/>
            <w:szCs w:val="20"/>
          </w:rPr>
          <w:t xml:space="preserve"> Changing for the better</w:t>
        </w:r>
      </w:p>
    </w:sdtContent>
  </w:sdt>
  <w:p w14:paraId="15953E04" w14:textId="77777777" w:rsidR="001030EA" w:rsidRDefault="00103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9024C" w14:textId="77777777" w:rsidR="00E24755" w:rsidRDefault="00E24755" w:rsidP="001030EA">
      <w:pPr>
        <w:spacing w:after="0" w:line="240" w:lineRule="auto"/>
      </w:pPr>
      <w:r>
        <w:separator/>
      </w:r>
    </w:p>
  </w:footnote>
  <w:footnote w:type="continuationSeparator" w:id="0">
    <w:p w14:paraId="7D7F789D" w14:textId="77777777" w:rsidR="00E24755" w:rsidRDefault="00E24755" w:rsidP="00103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87119" w14:textId="77777777" w:rsidR="001030EA" w:rsidRPr="00876DB0" w:rsidRDefault="00AD4677" w:rsidP="001030EA">
    <w:pPr>
      <w:pStyle w:val="Header"/>
      <w:rPr>
        <w:rFonts w:ascii="Trebuchet MS" w:hAnsi="Trebuchet MS"/>
        <w:b/>
        <w:sz w:val="16"/>
        <w:szCs w:val="16"/>
      </w:rPr>
    </w:pPr>
    <w:r>
      <w:rPr>
        <w:rFonts w:ascii="Trebuchet MS" w:hAnsi="Trebuchet MS"/>
        <w:b/>
        <w:sz w:val="16"/>
        <w:szCs w:val="16"/>
      </w:rPr>
      <w:t xml:space="preserve">Project Brief: </w:t>
    </w:r>
    <w:r w:rsidR="007667F2">
      <w:rPr>
        <w:rFonts w:ascii="Trebuchet MS" w:hAnsi="Trebuchet MS"/>
        <w:b/>
        <w:sz w:val="16"/>
        <w:szCs w:val="16"/>
      </w:rPr>
      <w:t>Project Title</w:t>
    </w:r>
    <w:r w:rsidR="00876DB0" w:rsidRPr="00876DB0">
      <w:rPr>
        <w:rFonts w:ascii="Trebuchet MS" w:hAnsi="Trebuchet MS"/>
        <w:b/>
        <w:sz w:val="16"/>
        <w:szCs w:val="16"/>
      </w:rPr>
      <w:tab/>
    </w:r>
    <w:r w:rsidR="00876DB0" w:rsidRPr="00876DB0">
      <w:rPr>
        <w:rFonts w:ascii="Trebuchet MS" w:hAnsi="Trebuchet MS"/>
        <w:b/>
        <w:sz w:val="16"/>
        <w:szCs w:val="16"/>
      </w:rPr>
      <w:tab/>
      <w:t xml:space="preserve">Version </w:t>
    </w:r>
    <w:r>
      <w:rPr>
        <w:rFonts w:ascii="Trebuchet MS" w:hAnsi="Trebuchet MS"/>
        <w:b/>
        <w:sz w:val="16"/>
        <w:szCs w:val="16"/>
      </w:rPr>
      <w:t>0.1</w:t>
    </w:r>
  </w:p>
  <w:p w14:paraId="61F79609" w14:textId="77777777" w:rsidR="001030EA" w:rsidRPr="001030EA" w:rsidRDefault="001030EA" w:rsidP="001030EA">
    <w:pPr>
      <w:pStyle w:val="Header"/>
      <w:rPr>
        <w:rFonts w:ascii="Aleo" w:hAnsi="Aleo"/>
        <w:b/>
        <w:color w:val="2D0054"/>
      </w:rPr>
    </w:pPr>
  </w:p>
  <w:p w14:paraId="7243BBD2" w14:textId="77777777" w:rsidR="002400C9" w:rsidRDefault="002400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B2BC0" w14:textId="77777777" w:rsidR="00E45FAA" w:rsidRDefault="00E45FAA">
    <w:pPr>
      <w:pStyle w:val="Header"/>
    </w:pPr>
    <w:r w:rsidRPr="00E45FAA">
      <w:rPr>
        <w:noProof/>
        <w:lang w:eastAsia="en-GB"/>
      </w:rPr>
      <w:drawing>
        <wp:anchor distT="0" distB="0" distL="114300" distR="114300" simplePos="0" relativeHeight="251663360" behindDoc="0" locked="0" layoutInCell="1" allowOverlap="1" wp14:anchorId="75C1E446" wp14:editId="2A5F5442">
          <wp:simplePos x="0" y="0"/>
          <wp:positionH relativeFrom="column">
            <wp:posOffset>5753100</wp:posOffset>
          </wp:positionH>
          <wp:positionV relativeFrom="paragraph">
            <wp:posOffset>-287655</wp:posOffset>
          </wp:positionV>
          <wp:extent cx="978535" cy="13843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 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535" cy="1384300"/>
                  </a:xfrm>
                  <a:prstGeom prst="rect">
                    <a:avLst/>
                  </a:prstGeom>
                </pic:spPr>
              </pic:pic>
            </a:graphicData>
          </a:graphic>
          <wp14:sizeRelH relativeFrom="page">
            <wp14:pctWidth>0</wp14:pctWidth>
          </wp14:sizeRelH>
          <wp14:sizeRelV relativeFrom="page">
            <wp14:pctHeight>0</wp14:pctHeight>
          </wp14:sizeRelV>
        </wp:anchor>
      </w:drawing>
    </w:r>
    <w:r w:rsidRPr="00E45FAA">
      <w:rPr>
        <w:noProof/>
        <w:lang w:eastAsia="en-GB"/>
      </w:rPr>
      <w:drawing>
        <wp:anchor distT="0" distB="0" distL="114300" distR="114300" simplePos="0" relativeHeight="251662336" behindDoc="1" locked="0" layoutInCell="1" allowOverlap="1" wp14:anchorId="26302126" wp14:editId="1F7478FC">
          <wp:simplePos x="0" y="0"/>
          <wp:positionH relativeFrom="column">
            <wp:posOffset>2276475</wp:posOffset>
          </wp:positionH>
          <wp:positionV relativeFrom="paragraph">
            <wp:posOffset>1455420</wp:posOffset>
          </wp:positionV>
          <wp:extent cx="4608195" cy="8796020"/>
          <wp:effectExtent l="0" t="0" r="1905"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mark corporate plan.tif"/>
                  <pic:cNvPicPr/>
                </pic:nvPicPr>
                <pic:blipFill>
                  <a:blip r:embed="rId2">
                    <a:extLst>
                      <a:ext uri="{28A0092B-C50C-407E-A947-70E740481C1C}">
                        <a14:useLocalDpi xmlns:a14="http://schemas.microsoft.com/office/drawing/2010/main" val="0"/>
                      </a:ext>
                    </a:extLst>
                  </a:blip>
                  <a:stretch>
                    <a:fillRect/>
                  </a:stretch>
                </pic:blipFill>
                <pic:spPr>
                  <a:xfrm>
                    <a:off x="0" y="0"/>
                    <a:ext cx="4608195" cy="87960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A98"/>
    <w:multiLevelType w:val="singleLevel"/>
    <w:tmpl w:val="5C48C7A6"/>
    <w:lvl w:ilvl="0">
      <w:start w:val="1"/>
      <w:numFmt w:val="bullet"/>
      <w:pStyle w:val="listbulletround1"/>
      <w:lvlText w:val="l"/>
      <w:lvlJc w:val="left"/>
      <w:pPr>
        <w:tabs>
          <w:tab w:val="num" w:pos="1440"/>
        </w:tabs>
        <w:ind w:left="1440" w:hanging="720"/>
      </w:pPr>
      <w:rPr>
        <w:rFonts w:ascii="Wingdings" w:hAnsi="Wingdings" w:hint="default"/>
      </w:rPr>
    </w:lvl>
  </w:abstractNum>
  <w:abstractNum w:abstractNumId="1" w15:restartNumberingAfterBreak="0">
    <w:nsid w:val="03520AC4"/>
    <w:multiLevelType w:val="hybridMultilevel"/>
    <w:tmpl w:val="BAF6E9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D63033"/>
    <w:multiLevelType w:val="hybridMultilevel"/>
    <w:tmpl w:val="D70A2BC8"/>
    <w:lvl w:ilvl="0" w:tplc="7D189F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3A7888"/>
    <w:multiLevelType w:val="hybridMultilevel"/>
    <w:tmpl w:val="6F163F6E"/>
    <w:lvl w:ilvl="0" w:tplc="7A6E697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842228"/>
    <w:multiLevelType w:val="hybridMultilevel"/>
    <w:tmpl w:val="94D057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D35306A"/>
    <w:multiLevelType w:val="hybridMultilevel"/>
    <w:tmpl w:val="361C5F2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6" w15:restartNumberingAfterBreak="0">
    <w:nsid w:val="1ECB065C"/>
    <w:multiLevelType w:val="hybridMultilevel"/>
    <w:tmpl w:val="4A7E39A8"/>
    <w:lvl w:ilvl="0" w:tplc="1032AB18">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FE70686"/>
    <w:multiLevelType w:val="hybridMultilevel"/>
    <w:tmpl w:val="E74CF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FA16BD"/>
    <w:multiLevelType w:val="singleLevel"/>
    <w:tmpl w:val="4470E1F2"/>
    <w:lvl w:ilvl="0">
      <w:start w:val="1"/>
      <w:numFmt w:val="bullet"/>
      <w:pStyle w:val="listbulletdash2"/>
      <w:lvlText w:val="-"/>
      <w:lvlJc w:val="left"/>
      <w:pPr>
        <w:tabs>
          <w:tab w:val="num" w:pos="2160"/>
        </w:tabs>
        <w:ind w:left="2160" w:hanging="720"/>
      </w:pPr>
      <w:rPr>
        <w:rFonts w:ascii="Symbol" w:hAnsi="Symbol"/>
      </w:rPr>
    </w:lvl>
  </w:abstractNum>
  <w:abstractNum w:abstractNumId="9" w15:restartNumberingAfterBreak="0">
    <w:nsid w:val="238B54C1"/>
    <w:multiLevelType w:val="singleLevel"/>
    <w:tmpl w:val="ED8CBF52"/>
    <w:lvl w:ilvl="0">
      <w:start w:val="3"/>
      <w:numFmt w:val="decimal"/>
      <w:lvlText w:val="%1.1"/>
      <w:lvlJc w:val="left"/>
      <w:pPr>
        <w:ind w:left="1854" w:hanging="360"/>
      </w:pPr>
      <w:rPr>
        <w:rFonts w:hint="default"/>
        <w:u w:val="none"/>
      </w:rPr>
    </w:lvl>
  </w:abstractNum>
  <w:abstractNum w:abstractNumId="10" w15:restartNumberingAfterBreak="0">
    <w:nsid w:val="254632F8"/>
    <w:multiLevelType w:val="multilevel"/>
    <w:tmpl w:val="22FEAB94"/>
    <w:lvl w:ilvl="0">
      <w:start w:val="7"/>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5BF5337"/>
    <w:multiLevelType w:val="hybridMultilevel"/>
    <w:tmpl w:val="662C3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611A4"/>
    <w:multiLevelType w:val="multilevel"/>
    <w:tmpl w:val="05ACF40A"/>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4C3E10"/>
    <w:multiLevelType w:val="hybridMultilevel"/>
    <w:tmpl w:val="35427900"/>
    <w:lvl w:ilvl="0" w:tplc="C8C492F4">
      <w:start w:val="3"/>
      <w:numFmt w:val="decimal"/>
      <w:lvlText w:val="%1.2"/>
      <w:lvlJc w:val="left"/>
      <w:pPr>
        <w:ind w:left="1854"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805287"/>
    <w:multiLevelType w:val="hybridMultilevel"/>
    <w:tmpl w:val="A484F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CE7B7C"/>
    <w:multiLevelType w:val="hybridMultilevel"/>
    <w:tmpl w:val="E2B25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803628"/>
    <w:multiLevelType w:val="multilevel"/>
    <w:tmpl w:val="8FD41BAE"/>
    <w:lvl w:ilvl="0">
      <w:start w:val="1"/>
      <w:numFmt w:val="decimal"/>
      <w:lvlText w:val="%1."/>
      <w:lvlJc w:val="left"/>
      <w:pPr>
        <w:ind w:left="720" w:hanging="360"/>
      </w:pPr>
    </w:lvl>
    <w:lvl w:ilvl="1">
      <w:numFmt w:val="decimal"/>
      <w:isLgl/>
      <w:lvlText w:val="%1.%2"/>
      <w:lvlJc w:val="left"/>
      <w:pPr>
        <w:ind w:left="880" w:hanging="5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2AF1D70"/>
    <w:multiLevelType w:val="hybridMultilevel"/>
    <w:tmpl w:val="197AA220"/>
    <w:lvl w:ilvl="0" w:tplc="52F84AB2">
      <w:start w:val="4"/>
      <w:numFmt w:val="decimal"/>
      <w:lvlText w:val="%1.3"/>
      <w:lvlJc w:val="left"/>
      <w:pPr>
        <w:ind w:left="1778"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CF7E04"/>
    <w:multiLevelType w:val="multilevel"/>
    <w:tmpl w:val="05ACF40A"/>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AE4BB6"/>
    <w:multiLevelType w:val="hybridMultilevel"/>
    <w:tmpl w:val="10AE362A"/>
    <w:lvl w:ilvl="0" w:tplc="BBC61168">
      <w:start w:val="9"/>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973323E"/>
    <w:multiLevelType w:val="hybridMultilevel"/>
    <w:tmpl w:val="8124B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A951A4"/>
    <w:multiLevelType w:val="hybridMultilevel"/>
    <w:tmpl w:val="B4386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BF5417"/>
    <w:multiLevelType w:val="hybridMultilevel"/>
    <w:tmpl w:val="9DE00F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5439CC"/>
    <w:multiLevelType w:val="hybridMultilevel"/>
    <w:tmpl w:val="FC9EF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D808A0"/>
    <w:multiLevelType w:val="multilevel"/>
    <w:tmpl w:val="E9867F96"/>
    <w:lvl w:ilvl="0">
      <w:start w:val="1"/>
      <w:numFmt w:val="decimal"/>
      <w:lvlText w:val="%1."/>
      <w:lvlJc w:val="left"/>
      <w:pPr>
        <w:ind w:left="720" w:hanging="360"/>
      </w:p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4564D85"/>
    <w:multiLevelType w:val="hybridMultilevel"/>
    <w:tmpl w:val="4D843D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955050"/>
    <w:multiLevelType w:val="hybridMultilevel"/>
    <w:tmpl w:val="A420D50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7" w15:restartNumberingAfterBreak="0">
    <w:nsid w:val="49864D9A"/>
    <w:multiLevelType w:val="multilevel"/>
    <w:tmpl w:val="A6D2441A"/>
    <w:lvl w:ilvl="0">
      <w:start w:val="4"/>
      <w:numFmt w:val="decimal"/>
      <w:lvlText w:val="%1"/>
      <w:lvlJc w:val="left"/>
      <w:pPr>
        <w:ind w:left="400" w:hanging="400"/>
      </w:pPr>
      <w:rPr>
        <w:rFonts w:hint="default"/>
      </w:rPr>
    </w:lvl>
    <w:lvl w:ilvl="1">
      <w:start w:val="3"/>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8880" w:hanging="2160"/>
      </w:pPr>
      <w:rPr>
        <w:rFonts w:hint="default"/>
      </w:rPr>
    </w:lvl>
  </w:abstractNum>
  <w:abstractNum w:abstractNumId="28" w15:restartNumberingAfterBreak="0">
    <w:nsid w:val="4B7D2D06"/>
    <w:multiLevelType w:val="multilevel"/>
    <w:tmpl w:val="8FD41BAE"/>
    <w:lvl w:ilvl="0">
      <w:start w:val="1"/>
      <w:numFmt w:val="decimal"/>
      <w:lvlText w:val="%1."/>
      <w:lvlJc w:val="left"/>
      <w:pPr>
        <w:ind w:left="720" w:hanging="360"/>
      </w:pPr>
    </w:lvl>
    <w:lvl w:ilvl="1">
      <w:numFmt w:val="decimal"/>
      <w:isLgl/>
      <w:lvlText w:val="%1.%2"/>
      <w:lvlJc w:val="left"/>
      <w:pPr>
        <w:ind w:left="880" w:hanging="5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CE47B3F"/>
    <w:multiLevelType w:val="hybridMultilevel"/>
    <w:tmpl w:val="AAFAD2D2"/>
    <w:lvl w:ilvl="0" w:tplc="6E985ED8">
      <w:start w:val="1"/>
      <w:numFmt w:val="decimal"/>
      <w:lvlText w:val="%1."/>
      <w:lvlJc w:val="left"/>
      <w:pPr>
        <w:ind w:left="720" w:hanging="360"/>
      </w:pPr>
      <w:rPr>
        <w:sz w:val="18"/>
        <w:szCs w:val="1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2000F31"/>
    <w:multiLevelType w:val="hybridMultilevel"/>
    <w:tmpl w:val="17440E90"/>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1" w15:restartNumberingAfterBreak="0">
    <w:nsid w:val="52D15DA1"/>
    <w:multiLevelType w:val="hybridMultilevel"/>
    <w:tmpl w:val="709A4B64"/>
    <w:lvl w:ilvl="0" w:tplc="46489ADE">
      <w:start w:val="1"/>
      <w:numFmt w:val="bullet"/>
      <w:lvlText w:val=""/>
      <w:lvlJc w:val="left"/>
      <w:pPr>
        <w:tabs>
          <w:tab w:val="num" w:pos="643"/>
        </w:tabs>
        <w:ind w:left="643"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F90E36"/>
    <w:multiLevelType w:val="hybridMultilevel"/>
    <w:tmpl w:val="9B34C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A74C71"/>
    <w:multiLevelType w:val="multilevel"/>
    <w:tmpl w:val="76D650D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C4F1359"/>
    <w:multiLevelType w:val="hybridMultilevel"/>
    <w:tmpl w:val="017A18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D8919F4"/>
    <w:multiLevelType w:val="hybridMultilevel"/>
    <w:tmpl w:val="98FEB4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010678"/>
    <w:multiLevelType w:val="hybridMultilevel"/>
    <w:tmpl w:val="C61009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62301540"/>
    <w:multiLevelType w:val="hybridMultilevel"/>
    <w:tmpl w:val="BAF6E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693B87"/>
    <w:multiLevelType w:val="multilevel"/>
    <w:tmpl w:val="E4B6C4F8"/>
    <w:lvl w:ilvl="0">
      <w:start w:val="1"/>
      <w:numFmt w:val="decimal"/>
      <w:lvlText w:val="%1.0"/>
      <w:lvlJc w:val="left"/>
      <w:pPr>
        <w:ind w:left="510" w:hanging="510"/>
      </w:pPr>
      <w:rPr>
        <w:rFonts w:hint="default"/>
      </w:rPr>
    </w:lvl>
    <w:lvl w:ilvl="1">
      <w:start w:val="1"/>
      <w:numFmt w:val="decimal"/>
      <w:lvlText w:val="%1.%2"/>
      <w:lvlJc w:val="left"/>
      <w:pPr>
        <w:ind w:left="1230" w:hanging="5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694724A3"/>
    <w:multiLevelType w:val="hybridMultilevel"/>
    <w:tmpl w:val="5C9C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F17E3B"/>
    <w:multiLevelType w:val="hybridMultilevel"/>
    <w:tmpl w:val="9AD8FF42"/>
    <w:lvl w:ilvl="0" w:tplc="4E42936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AF574EC"/>
    <w:multiLevelType w:val="multilevel"/>
    <w:tmpl w:val="BCACA998"/>
    <w:lvl w:ilvl="0">
      <w:start w:val="4"/>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2C66807"/>
    <w:multiLevelType w:val="hybridMultilevel"/>
    <w:tmpl w:val="BBAC405A"/>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392660F"/>
    <w:multiLevelType w:val="hybridMultilevel"/>
    <w:tmpl w:val="9AE254E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AD75B8"/>
    <w:multiLevelType w:val="hybridMultilevel"/>
    <w:tmpl w:val="DDEC3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7427351">
    <w:abstractNumId w:val="31"/>
  </w:num>
  <w:num w:numId="2" w16cid:durableId="1223253141">
    <w:abstractNumId w:val="0"/>
  </w:num>
  <w:num w:numId="3" w16cid:durableId="374815462">
    <w:abstractNumId w:val="8"/>
  </w:num>
  <w:num w:numId="4" w16cid:durableId="30541674">
    <w:abstractNumId w:val="19"/>
  </w:num>
  <w:num w:numId="5" w16cid:durableId="1165164974">
    <w:abstractNumId w:val="44"/>
  </w:num>
  <w:num w:numId="6" w16cid:durableId="1801655408">
    <w:abstractNumId w:val="38"/>
  </w:num>
  <w:num w:numId="7" w16cid:durableId="1239443008">
    <w:abstractNumId w:val="26"/>
  </w:num>
  <w:num w:numId="8" w16cid:durableId="2064981245">
    <w:abstractNumId w:val="9"/>
  </w:num>
  <w:num w:numId="9" w16cid:durableId="1206672778">
    <w:abstractNumId w:val="13"/>
  </w:num>
  <w:num w:numId="10" w16cid:durableId="842620992">
    <w:abstractNumId w:val="14"/>
  </w:num>
  <w:num w:numId="11" w16cid:durableId="1061638630">
    <w:abstractNumId w:val="21"/>
  </w:num>
  <w:num w:numId="12" w16cid:durableId="761292727">
    <w:abstractNumId w:val="17"/>
  </w:num>
  <w:num w:numId="13" w16cid:durableId="1490629426">
    <w:abstractNumId w:val="32"/>
  </w:num>
  <w:num w:numId="14" w16cid:durableId="1380781725">
    <w:abstractNumId w:val="12"/>
  </w:num>
  <w:num w:numId="15" w16cid:durableId="1518883424">
    <w:abstractNumId w:val="18"/>
  </w:num>
  <w:num w:numId="16" w16cid:durableId="2019890339">
    <w:abstractNumId w:val="10"/>
  </w:num>
  <w:num w:numId="17" w16cid:durableId="712458680">
    <w:abstractNumId w:val="42"/>
  </w:num>
  <w:num w:numId="18" w16cid:durableId="1415127776">
    <w:abstractNumId w:val="7"/>
  </w:num>
  <w:num w:numId="19" w16cid:durableId="258757484">
    <w:abstractNumId w:val="11"/>
  </w:num>
  <w:num w:numId="20" w16cid:durableId="555046265">
    <w:abstractNumId w:val="34"/>
  </w:num>
  <w:num w:numId="21" w16cid:durableId="1109204865">
    <w:abstractNumId w:val="25"/>
  </w:num>
  <w:num w:numId="22" w16cid:durableId="83190574">
    <w:abstractNumId w:val="16"/>
  </w:num>
  <w:num w:numId="23" w16cid:durableId="76632324">
    <w:abstractNumId w:val="30"/>
  </w:num>
  <w:num w:numId="24" w16cid:durableId="103890820">
    <w:abstractNumId w:val="37"/>
  </w:num>
  <w:num w:numId="25" w16cid:durableId="122161183">
    <w:abstractNumId w:val="4"/>
  </w:num>
  <w:num w:numId="26" w16cid:durableId="630987793">
    <w:abstractNumId w:val="4"/>
  </w:num>
  <w:num w:numId="27" w16cid:durableId="1264457060">
    <w:abstractNumId w:val="29"/>
  </w:num>
  <w:num w:numId="28" w16cid:durableId="5271101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59278879">
    <w:abstractNumId w:val="5"/>
  </w:num>
  <w:num w:numId="30" w16cid:durableId="334649264">
    <w:abstractNumId w:val="5"/>
  </w:num>
  <w:num w:numId="31" w16cid:durableId="1630159659">
    <w:abstractNumId w:val="6"/>
  </w:num>
  <w:num w:numId="32" w16cid:durableId="798886436">
    <w:abstractNumId w:val="3"/>
  </w:num>
  <w:num w:numId="33" w16cid:durableId="1764915922">
    <w:abstractNumId w:val="40"/>
  </w:num>
  <w:num w:numId="34" w16cid:durableId="942686332">
    <w:abstractNumId w:val="15"/>
  </w:num>
  <w:num w:numId="35" w16cid:durableId="637030955">
    <w:abstractNumId w:val="43"/>
  </w:num>
  <w:num w:numId="36" w16cid:durableId="288433951">
    <w:abstractNumId w:val="39"/>
  </w:num>
  <w:num w:numId="37" w16cid:durableId="217205283">
    <w:abstractNumId w:val="35"/>
  </w:num>
  <w:num w:numId="38" w16cid:durableId="429936393">
    <w:abstractNumId w:val="24"/>
  </w:num>
  <w:num w:numId="39" w16cid:durableId="2007777622">
    <w:abstractNumId w:val="28"/>
  </w:num>
  <w:num w:numId="40" w16cid:durableId="1350908071">
    <w:abstractNumId w:val="33"/>
  </w:num>
  <w:num w:numId="41" w16cid:durableId="1796094237">
    <w:abstractNumId w:val="23"/>
  </w:num>
  <w:num w:numId="42" w16cid:durableId="2006587788">
    <w:abstractNumId w:val="27"/>
  </w:num>
  <w:num w:numId="43" w16cid:durableId="1792213523">
    <w:abstractNumId w:val="41"/>
  </w:num>
  <w:num w:numId="44" w16cid:durableId="1034381986">
    <w:abstractNumId w:val="1"/>
  </w:num>
  <w:num w:numId="45" w16cid:durableId="466093470">
    <w:abstractNumId w:val="2"/>
  </w:num>
  <w:num w:numId="46" w16cid:durableId="294217693">
    <w:abstractNumId w:val="36"/>
  </w:num>
  <w:num w:numId="47" w16cid:durableId="180171079">
    <w:abstractNumId w:val="22"/>
  </w:num>
  <w:num w:numId="48" w16cid:durableId="5602162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0EA"/>
    <w:rsid w:val="0000231F"/>
    <w:rsid w:val="00011002"/>
    <w:rsid w:val="000352D8"/>
    <w:rsid w:val="00041CE7"/>
    <w:rsid w:val="00045F7B"/>
    <w:rsid w:val="00045FA1"/>
    <w:rsid w:val="00057D0F"/>
    <w:rsid w:val="00063E7A"/>
    <w:rsid w:val="00065C9A"/>
    <w:rsid w:val="00065F9E"/>
    <w:rsid w:val="00074EA2"/>
    <w:rsid w:val="000775E4"/>
    <w:rsid w:val="000815D2"/>
    <w:rsid w:val="00090F23"/>
    <w:rsid w:val="00091086"/>
    <w:rsid w:val="00091781"/>
    <w:rsid w:val="00096773"/>
    <w:rsid w:val="000974A5"/>
    <w:rsid w:val="00097F44"/>
    <w:rsid w:val="000A0D0E"/>
    <w:rsid w:val="000A5365"/>
    <w:rsid w:val="000C06B1"/>
    <w:rsid w:val="000C47C3"/>
    <w:rsid w:val="000D3D24"/>
    <w:rsid w:val="000E293D"/>
    <w:rsid w:val="000E59CA"/>
    <w:rsid w:val="000E705F"/>
    <w:rsid w:val="000F1F74"/>
    <w:rsid w:val="000F38FD"/>
    <w:rsid w:val="000F4C4E"/>
    <w:rsid w:val="000F52F8"/>
    <w:rsid w:val="000F7A4D"/>
    <w:rsid w:val="001030EA"/>
    <w:rsid w:val="00103BBA"/>
    <w:rsid w:val="00105250"/>
    <w:rsid w:val="00107E88"/>
    <w:rsid w:val="00112059"/>
    <w:rsid w:val="0011292A"/>
    <w:rsid w:val="00113359"/>
    <w:rsid w:val="00117C3C"/>
    <w:rsid w:val="00123C16"/>
    <w:rsid w:val="00124268"/>
    <w:rsid w:val="00124687"/>
    <w:rsid w:val="00126494"/>
    <w:rsid w:val="001330E1"/>
    <w:rsid w:val="001350C4"/>
    <w:rsid w:val="00135C53"/>
    <w:rsid w:val="001412D8"/>
    <w:rsid w:val="00143B73"/>
    <w:rsid w:val="00152C5E"/>
    <w:rsid w:val="00156B4B"/>
    <w:rsid w:val="001619F7"/>
    <w:rsid w:val="00166004"/>
    <w:rsid w:val="0017211F"/>
    <w:rsid w:val="0017794A"/>
    <w:rsid w:val="00177D25"/>
    <w:rsid w:val="001806A5"/>
    <w:rsid w:val="001808B7"/>
    <w:rsid w:val="00182146"/>
    <w:rsid w:val="00184F0B"/>
    <w:rsid w:val="0018545A"/>
    <w:rsid w:val="0019324F"/>
    <w:rsid w:val="001977A1"/>
    <w:rsid w:val="00197F55"/>
    <w:rsid w:val="001A674E"/>
    <w:rsid w:val="001A7F47"/>
    <w:rsid w:val="001B1AB3"/>
    <w:rsid w:val="001B31AA"/>
    <w:rsid w:val="001B61EA"/>
    <w:rsid w:val="001C4D64"/>
    <w:rsid w:val="001C5536"/>
    <w:rsid w:val="001C59D6"/>
    <w:rsid w:val="001D0324"/>
    <w:rsid w:val="001D1413"/>
    <w:rsid w:val="001F57EE"/>
    <w:rsid w:val="001F61CD"/>
    <w:rsid w:val="002024D4"/>
    <w:rsid w:val="00205616"/>
    <w:rsid w:val="002202FB"/>
    <w:rsid w:val="00222B8E"/>
    <w:rsid w:val="00225422"/>
    <w:rsid w:val="00225A16"/>
    <w:rsid w:val="00236827"/>
    <w:rsid w:val="00236F00"/>
    <w:rsid w:val="002400C9"/>
    <w:rsid w:val="002441FF"/>
    <w:rsid w:val="0025103A"/>
    <w:rsid w:val="002516B9"/>
    <w:rsid w:val="00263245"/>
    <w:rsid w:val="00267106"/>
    <w:rsid w:val="002750BE"/>
    <w:rsid w:val="002840A6"/>
    <w:rsid w:val="00284A32"/>
    <w:rsid w:val="00285432"/>
    <w:rsid w:val="00285A58"/>
    <w:rsid w:val="0028616E"/>
    <w:rsid w:val="0029002D"/>
    <w:rsid w:val="00290097"/>
    <w:rsid w:val="00291D2A"/>
    <w:rsid w:val="002935B1"/>
    <w:rsid w:val="002967D8"/>
    <w:rsid w:val="002A1821"/>
    <w:rsid w:val="002A621F"/>
    <w:rsid w:val="002B4275"/>
    <w:rsid w:val="002C2C04"/>
    <w:rsid w:val="002C6D4F"/>
    <w:rsid w:val="002D00A1"/>
    <w:rsid w:val="002D58E6"/>
    <w:rsid w:val="002D5F0D"/>
    <w:rsid w:val="002E309A"/>
    <w:rsid w:val="002E6594"/>
    <w:rsid w:val="002E6934"/>
    <w:rsid w:val="002F2E28"/>
    <w:rsid w:val="002F554E"/>
    <w:rsid w:val="0031286A"/>
    <w:rsid w:val="00315910"/>
    <w:rsid w:val="00317F00"/>
    <w:rsid w:val="003230A7"/>
    <w:rsid w:val="00326794"/>
    <w:rsid w:val="00333CB6"/>
    <w:rsid w:val="00352AB7"/>
    <w:rsid w:val="00352E6E"/>
    <w:rsid w:val="003675D3"/>
    <w:rsid w:val="00371B81"/>
    <w:rsid w:val="00373A71"/>
    <w:rsid w:val="00374711"/>
    <w:rsid w:val="00374751"/>
    <w:rsid w:val="00375483"/>
    <w:rsid w:val="00375A9D"/>
    <w:rsid w:val="00393C17"/>
    <w:rsid w:val="00395E67"/>
    <w:rsid w:val="00397672"/>
    <w:rsid w:val="003B1AF8"/>
    <w:rsid w:val="003D0B7B"/>
    <w:rsid w:val="003D68E0"/>
    <w:rsid w:val="003D6B52"/>
    <w:rsid w:val="003E0F1F"/>
    <w:rsid w:val="003E48B2"/>
    <w:rsid w:val="003E5F05"/>
    <w:rsid w:val="003E6FF3"/>
    <w:rsid w:val="003F0F4A"/>
    <w:rsid w:val="003F5F86"/>
    <w:rsid w:val="00402940"/>
    <w:rsid w:val="004213F6"/>
    <w:rsid w:val="00425BB5"/>
    <w:rsid w:val="004270E7"/>
    <w:rsid w:val="0043236D"/>
    <w:rsid w:val="00433F5E"/>
    <w:rsid w:val="00445106"/>
    <w:rsid w:val="004453F4"/>
    <w:rsid w:val="00461E1C"/>
    <w:rsid w:val="00464C0C"/>
    <w:rsid w:val="00465842"/>
    <w:rsid w:val="00467DE9"/>
    <w:rsid w:val="00473C73"/>
    <w:rsid w:val="00473D31"/>
    <w:rsid w:val="00491B31"/>
    <w:rsid w:val="004A20B0"/>
    <w:rsid w:val="004A39F0"/>
    <w:rsid w:val="004A6F22"/>
    <w:rsid w:val="004C32A9"/>
    <w:rsid w:val="004C3FEB"/>
    <w:rsid w:val="004F6F30"/>
    <w:rsid w:val="00500F67"/>
    <w:rsid w:val="005026F5"/>
    <w:rsid w:val="005052B1"/>
    <w:rsid w:val="00507EFD"/>
    <w:rsid w:val="005146C6"/>
    <w:rsid w:val="00515963"/>
    <w:rsid w:val="00531731"/>
    <w:rsid w:val="00532B5D"/>
    <w:rsid w:val="00533A4D"/>
    <w:rsid w:val="00533ACE"/>
    <w:rsid w:val="00535374"/>
    <w:rsid w:val="00537870"/>
    <w:rsid w:val="005410EB"/>
    <w:rsid w:val="005412B9"/>
    <w:rsid w:val="005423FA"/>
    <w:rsid w:val="00551757"/>
    <w:rsid w:val="0055515F"/>
    <w:rsid w:val="00555419"/>
    <w:rsid w:val="00560F03"/>
    <w:rsid w:val="00566336"/>
    <w:rsid w:val="00574BBE"/>
    <w:rsid w:val="0058144D"/>
    <w:rsid w:val="00587A61"/>
    <w:rsid w:val="00594B2B"/>
    <w:rsid w:val="005A0547"/>
    <w:rsid w:val="005A0730"/>
    <w:rsid w:val="005A3CF8"/>
    <w:rsid w:val="005A65E5"/>
    <w:rsid w:val="005A66A3"/>
    <w:rsid w:val="005B229D"/>
    <w:rsid w:val="005B578B"/>
    <w:rsid w:val="005D19EC"/>
    <w:rsid w:val="005D2428"/>
    <w:rsid w:val="005D3713"/>
    <w:rsid w:val="005D75A1"/>
    <w:rsid w:val="005E7591"/>
    <w:rsid w:val="005E7C44"/>
    <w:rsid w:val="005F0E28"/>
    <w:rsid w:val="005F1541"/>
    <w:rsid w:val="005F6A77"/>
    <w:rsid w:val="00606B8F"/>
    <w:rsid w:val="00624FE7"/>
    <w:rsid w:val="006312FC"/>
    <w:rsid w:val="00632C04"/>
    <w:rsid w:val="0063576C"/>
    <w:rsid w:val="006371A8"/>
    <w:rsid w:val="0063752C"/>
    <w:rsid w:val="00643F1D"/>
    <w:rsid w:val="00644DE0"/>
    <w:rsid w:val="006459F6"/>
    <w:rsid w:val="006467B5"/>
    <w:rsid w:val="00660C37"/>
    <w:rsid w:val="00661AA3"/>
    <w:rsid w:val="0066272F"/>
    <w:rsid w:val="00665098"/>
    <w:rsid w:val="00674108"/>
    <w:rsid w:val="006779E8"/>
    <w:rsid w:val="006813F6"/>
    <w:rsid w:val="00686253"/>
    <w:rsid w:val="0068746B"/>
    <w:rsid w:val="00687E20"/>
    <w:rsid w:val="006B243E"/>
    <w:rsid w:val="006B6F39"/>
    <w:rsid w:val="006D26B9"/>
    <w:rsid w:val="006D2D0F"/>
    <w:rsid w:val="006E17E3"/>
    <w:rsid w:val="006E4CBF"/>
    <w:rsid w:val="006F5F31"/>
    <w:rsid w:val="00702522"/>
    <w:rsid w:val="00702E18"/>
    <w:rsid w:val="007079A6"/>
    <w:rsid w:val="00711C66"/>
    <w:rsid w:val="007255A1"/>
    <w:rsid w:val="00730999"/>
    <w:rsid w:val="00741BD8"/>
    <w:rsid w:val="007449E0"/>
    <w:rsid w:val="00744B57"/>
    <w:rsid w:val="007536F0"/>
    <w:rsid w:val="0075522C"/>
    <w:rsid w:val="00755B97"/>
    <w:rsid w:val="007573FD"/>
    <w:rsid w:val="007578D6"/>
    <w:rsid w:val="007605E7"/>
    <w:rsid w:val="00762C7E"/>
    <w:rsid w:val="00765F86"/>
    <w:rsid w:val="007667F2"/>
    <w:rsid w:val="00774E5A"/>
    <w:rsid w:val="007830BA"/>
    <w:rsid w:val="00794956"/>
    <w:rsid w:val="007A1FF5"/>
    <w:rsid w:val="007A213B"/>
    <w:rsid w:val="007A42A9"/>
    <w:rsid w:val="007A5067"/>
    <w:rsid w:val="007A677A"/>
    <w:rsid w:val="007C3BB2"/>
    <w:rsid w:val="007C7AFF"/>
    <w:rsid w:val="007D33EE"/>
    <w:rsid w:val="007D5039"/>
    <w:rsid w:val="007D5DA6"/>
    <w:rsid w:val="007D5FCC"/>
    <w:rsid w:val="007E23B0"/>
    <w:rsid w:val="007E29EB"/>
    <w:rsid w:val="007E4A08"/>
    <w:rsid w:val="007E6F70"/>
    <w:rsid w:val="007F15E1"/>
    <w:rsid w:val="007F3837"/>
    <w:rsid w:val="00805454"/>
    <w:rsid w:val="00811652"/>
    <w:rsid w:val="008140F6"/>
    <w:rsid w:val="00814D25"/>
    <w:rsid w:val="00817C09"/>
    <w:rsid w:val="0082248F"/>
    <w:rsid w:val="008270D8"/>
    <w:rsid w:val="008272CE"/>
    <w:rsid w:val="00831ADE"/>
    <w:rsid w:val="008416B6"/>
    <w:rsid w:val="00852484"/>
    <w:rsid w:val="00852932"/>
    <w:rsid w:val="00852A8F"/>
    <w:rsid w:val="008536E1"/>
    <w:rsid w:val="00856F7F"/>
    <w:rsid w:val="00857C08"/>
    <w:rsid w:val="008665AE"/>
    <w:rsid w:val="0086681C"/>
    <w:rsid w:val="00870E89"/>
    <w:rsid w:val="00876BFF"/>
    <w:rsid w:val="00876DB0"/>
    <w:rsid w:val="0088227C"/>
    <w:rsid w:val="008829D7"/>
    <w:rsid w:val="00891EF2"/>
    <w:rsid w:val="00893226"/>
    <w:rsid w:val="00895442"/>
    <w:rsid w:val="008A20B2"/>
    <w:rsid w:val="008A45B0"/>
    <w:rsid w:val="008A6AFF"/>
    <w:rsid w:val="008B52EE"/>
    <w:rsid w:val="008B71F2"/>
    <w:rsid w:val="008C0388"/>
    <w:rsid w:val="008C067D"/>
    <w:rsid w:val="008C7483"/>
    <w:rsid w:val="008D3B17"/>
    <w:rsid w:val="008D6008"/>
    <w:rsid w:val="008D6DF1"/>
    <w:rsid w:val="008E1847"/>
    <w:rsid w:val="008E7F29"/>
    <w:rsid w:val="008F1550"/>
    <w:rsid w:val="008F4CCA"/>
    <w:rsid w:val="008F7DAE"/>
    <w:rsid w:val="00902E41"/>
    <w:rsid w:val="009058BA"/>
    <w:rsid w:val="0090620C"/>
    <w:rsid w:val="00906C4E"/>
    <w:rsid w:val="009079E6"/>
    <w:rsid w:val="00911F2D"/>
    <w:rsid w:val="009149CB"/>
    <w:rsid w:val="00916332"/>
    <w:rsid w:val="009267D2"/>
    <w:rsid w:val="0092784D"/>
    <w:rsid w:val="00941AE5"/>
    <w:rsid w:val="00955040"/>
    <w:rsid w:val="0096127F"/>
    <w:rsid w:val="00962AAB"/>
    <w:rsid w:val="00962C3E"/>
    <w:rsid w:val="009661BE"/>
    <w:rsid w:val="00970282"/>
    <w:rsid w:val="00973DD4"/>
    <w:rsid w:val="00976682"/>
    <w:rsid w:val="009827BF"/>
    <w:rsid w:val="009879CA"/>
    <w:rsid w:val="00992681"/>
    <w:rsid w:val="009A1C37"/>
    <w:rsid w:val="009A7EB2"/>
    <w:rsid w:val="009B4D8E"/>
    <w:rsid w:val="009B759F"/>
    <w:rsid w:val="009C466C"/>
    <w:rsid w:val="009D3838"/>
    <w:rsid w:val="009D7A96"/>
    <w:rsid w:val="009E1103"/>
    <w:rsid w:val="009E7179"/>
    <w:rsid w:val="009F03AC"/>
    <w:rsid w:val="009F1E4F"/>
    <w:rsid w:val="009F301F"/>
    <w:rsid w:val="009F6478"/>
    <w:rsid w:val="009F6FB7"/>
    <w:rsid w:val="00A024D9"/>
    <w:rsid w:val="00A02552"/>
    <w:rsid w:val="00A056BB"/>
    <w:rsid w:val="00A10FB1"/>
    <w:rsid w:val="00A1130B"/>
    <w:rsid w:val="00A119D7"/>
    <w:rsid w:val="00A1748D"/>
    <w:rsid w:val="00A32AA0"/>
    <w:rsid w:val="00A35CF1"/>
    <w:rsid w:val="00A36CBB"/>
    <w:rsid w:val="00A429E0"/>
    <w:rsid w:val="00A451CB"/>
    <w:rsid w:val="00A45AE2"/>
    <w:rsid w:val="00A53213"/>
    <w:rsid w:val="00A55D46"/>
    <w:rsid w:val="00A56E5E"/>
    <w:rsid w:val="00A57790"/>
    <w:rsid w:val="00A66A28"/>
    <w:rsid w:val="00A67B00"/>
    <w:rsid w:val="00A731DB"/>
    <w:rsid w:val="00A73D90"/>
    <w:rsid w:val="00A76E17"/>
    <w:rsid w:val="00A80640"/>
    <w:rsid w:val="00A808DF"/>
    <w:rsid w:val="00A828D8"/>
    <w:rsid w:val="00A82921"/>
    <w:rsid w:val="00A856AC"/>
    <w:rsid w:val="00A947E3"/>
    <w:rsid w:val="00A95E90"/>
    <w:rsid w:val="00A96BBC"/>
    <w:rsid w:val="00A96D6C"/>
    <w:rsid w:val="00AA47C4"/>
    <w:rsid w:val="00AA5938"/>
    <w:rsid w:val="00AA7A36"/>
    <w:rsid w:val="00AB1026"/>
    <w:rsid w:val="00AB4E62"/>
    <w:rsid w:val="00AC457D"/>
    <w:rsid w:val="00AD4677"/>
    <w:rsid w:val="00AD56A6"/>
    <w:rsid w:val="00AE0052"/>
    <w:rsid w:val="00AE0D9F"/>
    <w:rsid w:val="00AE6488"/>
    <w:rsid w:val="00B12320"/>
    <w:rsid w:val="00B15D86"/>
    <w:rsid w:val="00B20F39"/>
    <w:rsid w:val="00B22C17"/>
    <w:rsid w:val="00B2350E"/>
    <w:rsid w:val="00B35972"/>
    <w:rsid w:val="00B426F3"/>
    <w:rsid w:val="00B43364"/>
    <w:rsid w:val="00B43C60"/>
    <w:rsid w:val="00B51D94"/>
    <w:rsid w:val="00B57492"/>
    <w:rsid w:val="00B57A45"/>
    <w:rsid w:val="00B6467C"/>
    <w:rsid w:val="00B66718"/>
    <w:rsid w:val="00B66E94"/>
    <w:rsid w:val="00B80CD5"/>
    <w:rsid w:val="00B84434"/>
    <w:rsid w:val="00B903F0"/>
    <w:rsid w:val="00B91ED8"/>
    <w:rsid w:val="00B94A96"/>
    <w:rsid w:val="00B96F3C"/>
    <w:rsid w:val="00B97DB1"/>
    <w:rsid w:val="00BA12AC"/>
    <w:rsid w:val="00BA12E4"/>
    <w:rsid w:val="00BA4115"/>
    <w:rsid w:val="00BB02A1"/>
    <w:rsid w:val="00BB07EB"/>
    <w:rsid w:val="00BB18AB"/>
    <w:rsid w:val="00BB1AA1"/>
    <w:rsid w:val="00BB3EA2"/>
    <w:rsid w:val="00BB49D7"/>
    <w:rsid w:val="00BC0889"/>
    <w:rsid w:val="00BD3852"/>
    <w:rsid w:val="00BE002F"/>
    <w:rsid w:val="00BE27A0"/>
    <w:rsid w:val="00BF0AC9"/>
    <w:rsid w:val="00C040EC"/>
    <w:rsid w:val="00C061B2"/>
    <w:rsid w:val="00C153BD"/>
    <w:rsid w:val="00C201D6"/>
    <w:rsid w:val="00C21F61"/>
    <w:rsid w:val="00C302F9"/>
    <w:rsid w:val="00C32FD8"/>
    <w:rsid w:val="00C35CA0"/>
    <w:rsid w:val="00C451F1"/>
    <w:rsid w:val="00C5495F"/>
    <w:rsid w:val="00C61CE3"/>
    <w:rsid w:val="00C624B1"/>
    <w:rsid w:val="00C66CDA"/>
    <w:rsid w:val="00C675CD"/>
    <w:rsid w:val="00C70BED"/>
    <w:rsid w:val="00C7212A"/>
    <w:rsid w:val="00C72295"/>
    <w:rsid w:val="00C746D9"/>
    <w:rsid w:val="00C77172"/>
    <w:rsid w:val="00C81C92"/>
    <w:rsid w:val="00C838C3"/>
    <w:rsid w:val="00C83DA3"/>
    <w:rsid w:val="00C86120"/>
    <w:rsid w:val="00C8620D"/>
    <w:rsid w:val="00CA5477"/>
    <w:rsid w:val="00CA71C9"/>
    <w:rsid w:val="00CB587F"/>
    <w:rsid w:val="00CC2254"/>
    <w:rsid w:val="00CC3E13"/>
    <w:rsid w:val="00CD2E7A"/>
    <w:rsid w:val="00CD3F77"/>
    <w:rsid w:val="00CD63E7"/>
    <w:rsid w:val="00CF6004"/>
    <w:rsid w:val="00D005CC"/>
    <w:rsid w:val="00D07FA1"/>
    <w:rsid w:val="00D119F4"/>
    <w:rsid w:val="00D135E3"/>
    <w:rsid w:val="00D2247F"/>
    <w:rsid w:val="00D31298"/>
    <w:rsid w:val="00D355C7"/>
    <w:rsid w:val="00D35D29"/>
    <w:rsid w:val="00D3784C"/>
    <w:rsid w:val="00D44187"/>
    <w:rsid w:val="00D52202"/>
    <w:rsid w:val="00D52760"/>
    <w:rsid w:val="00D630D2"/>
    <w:rsid w:val="00D67625"/>
    <w:rsid w:val="00D810DF"/>
    <w:rsid w:val="00D81350"/>
    <w:rsid w:val="00D8260C"/>
    <w:rsid w:val="00D8632A"/>
    <w:rsid w:val="00D90006"/>
    <w:rsid w:val="00D90CF7"/>
    <w:rsid w:val="00D91233"/>
    <w:rsid w:val="00D91C0B"/>
    <w:rsid w:val="00D92122"/>
    <w:rsid w:val="00D93BCE"/>
    <w:rsid w:val="00DA7AD7"/>
    <w:rsid w:val="00DB5886"/>
    <w:rsid w:val="00DB5D79"/>
    <w:rsid w:val="00DB6184"/>
    <w:rsid w:val="00DC1426"/>
    <w:rsid w:val="00DC53B3"/>
    <w:rsid w:val="00DE7557"/>
    <w:rsid w:val="00DF6D99"/>
    <w:rsid w:val="00DF7530"/>
    <w:rsid w:val="00DF77A4"/>
    <w:rsid w:val="00E00954"/>
    <w:rsid w:val="00E173E1"/>
    <w:rsid w:val="00E20808"/>
    <w:rsid w:val="00E24455"/>
    <w:rsid w:val="00E24755"/>
    <w:rsid w:val="00E33657"/>
    <w:rsid w:val="00E347F0"/>
    <w:rsid w:val="00E37AF3"/>
    <w:rsid w:val="00E37F25"/>
    <w:rsid w:val="00E45847"/>
    <w:rsid w:val="00E45FAA"/>
    <w:rsid w:val="00E50425"/>
    <w:rsid w:val="00E519EF"/>
    <w:rsid w:val="00E52E1C"/>
    <w:rsid w:val="00E55934"/>
    <w:rsid w:val="00E6127F"/>
    <w:rsid w:val="00E61A5F"/>
    <w:rsid w:val="00E76F4D"/>
    <w:rsid w:val="00E80023"/>
    <w:rsid w:val="00E80F3A"/>
    <w:rsid w:val="00E90DAE"/>
    <w:rsid w:val="00E93F97"/>
    <w:rsid w:val="00E96CE5"/>
    <w:rsid w:val="00EA323B"/>
    <w:rsid w:val="00EA7978"/>
    <w:rsid w:val="00EB2A49"/>
    <w:rsid w:val="00EB6237"/>
    <w:rsid w:val="00ED0B8A"/>
    <w:rsid w:val="00ED5EA0"/>
    <w:rsid w:val="00ED5F99"/>
    <w:rsid w:val="00EF1D86"/>
    <w:rsid w:val="00EF2E49"/>
    <w:rsid w:val="00EF6B0D"/>
    <w:rsid w:val="00EF725F"/>
    <w:rsid w:val="00F06EC5"/>
    <w:rsid w:val="00F11B97"/>
    <w:rsid w:val="00F20DF8"/>
    <w:rsid w:val="00F210CF"/>
    <w:rsid w:val="00F24755"/>
    <w:rsid w:val="00F3515C"/>
    <w:rsid w:val="00F42AC3"/>
    <w:rsid w:val="00F43C36"/>
    <w:rsid w:val="00F47156"/>
    <w:rsid w:val="00F5251F"/>
    <w:rsid w:val="00F55012"/>
    <w:rsid w:val="00F60FE4"/>
    <w:rsid w:val="00F621AC"/>
    <w:rsid w:val="00F670B9"/>
    <w:rsid w:val="00F70005"/>
    <w:rsid w:val="00F712C8"/>
    <w:rsid w:val="00F75E18"/>
    <w:rsid w:val="00F8052F"/>
    <w:rsid w:val="00F80DF8"/>
    <w:rsid w:val="00F85DC0"/>
    <w:rsid w:val="00F91017"/>
    <w:rsid w:val="00F954F8"/>
    <w:rsid w:val="00FA1923"/>
    <w:rsid w:val="00FA2F45"/>
    <w:rsid w:val="00FB6C8E"/>
    <w:rsid w:val="00FC12BA"/>
    <w:rsid w:val="00FD272A"/>
    <w:rsid w:val="00FF26F5"/>
    <w:rsid w:val="00FF51B2"/>
    <w:rsid w:val="00FF6C50"/>
    <w:rsid w:val="00FF7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4EA21"/>
  <w15:docId w15:val="{914463EB-66E0-40D9-873E-1D3DD10E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DB0"/>
    <w:pPr>
      <w:keepNext/>
      <w:keepLines/>
      <w:spacing w:before="480" w:after="0"/>
      <w:outlineLvl w:val="0"/>
    </w:pPr>
    <w:rPr>
      <w:rFonts w:asciiTheme="majorHAnsi" w:eastAsiaTheme="majorEastAsia" w:hAnsiTheme="majorHAnsi" w:cstheme="majorBidi"/>
      <w:b/>
      <w:bCs/>
      <w:color w:val="21003E" w:themeColor="accent1" w:themeShade="BF"/>
      <w:sz w:val="28"/>
      <w:szCs w:val="28"/>
    </w:rPr>
  </w:style>
  <w:style w:type="paragraph" w:styleId="Heading2">
    <w:name w:val="heading 2"/>
    <w:basedOn w:val="Normal"/>
    <w:next w:val="Normal"/>
    <w:link w:val="Heading2Char"/>
    <w:uiPriority w:val="9"/>
    <w:unhideWhenUsed/>
    <w:qFormat/>
    <w:rsid w:val="00AC457D"/>
    <w:pPr>
      <w:keepNext/>
      <w:keepLines/>
      <w:spacing w:before="200" w:after="0"/>
      <w:outlineLvl w:val="1"/>
    </w:pPr>
    <w:rPr>
      <w:rFonts w:asciiTheme="majorHAnsi" w:eastAsiaTheme="majorEastAsia" w:hAnsiTheme="majorHAnsi" w:cstheme="majorBidi"/>
      <w:b/>
      <w:bCs/>
      <w:color w:val="2D0054" w:themeColor="accent1"/>
      <w:sz w:val="26"/>
      <w:szCs w:val="26"/>
    </w:rPr>
  </w:style>
  <w:style w:type="paragraph" w:styleId="Heading3">
    <w:name w:val="heading 3"/>
    <w:basedOn w:val="Normal"/>
    <w:next w:val="Normal"/>
    <w:link w:val="Heading3Char"/>
    <w:uiPriority w:val="9"/>
    <w:unhideWhenUsed/>
    <w:qFormat/>
    <w:rsid w:val="0017211F"/>
    <w:pPr>
      <w:keepNext/>
      <w:keepLines/>
      <w:spacing w:before="40" w:after="0"/>
      <w:outlineLvl w:val="2"/>
    </w:pPr>
    <w:rPr>
      <w:rFonts w:asciiTheme="majorHAnsi" w:eastAsiaTheme="majorEastAsia" w:hAnsiTheme="majorHAnsi" w:cstheme="majorBidi"/>
      <w:color w:val="160029" w:themeColor="accent1" w:themeShade="7F"/>
      <w:sz w:val="24"/>
      <w:szCs w:val="24"/>
    </w:rPr>
  </w:style>
  <w:style w:type="paragraph" w:styleId="Heading4">
    <w:name w:val="heading 4"/>
    <w:basedOn w:val="Normal"/>
    <w:next w:val="Normal"/>
    <w:link w:val="Heading4Char"/>
    <w:uiPriority w:val="9"/>
    <w:unhideWhenUsed/>
    <w:qFormat/>
    <w:rsid w:val="00831ADE"/>
    <w:pPr>
      <w:keepNext/>
      <w:keepLines/>
      <w:spacing w:before="40" w:after="0"/>
      <w:outlineLvl w:val="3"/>
    </w:pPr>
    <w:rPr>
      <w:rFonts w:asciiTheme="majorHAnsi" w:eastAsiaTheme="majorEastAsia" w:hAnsiTheme="majorHAnsi" w:cstheme="majorBidi"/>
      <w:i/>
      <w:iCs/>
      <w:color w:val="21003E" w:themeColor="accent1" w:themeShade="BF"/>
    </w:rPr>
  </w:style>
  <w:style w:type="paragraph" w:styleId="Heading5">
    <w:name w:val="heading 5"/>
    <w:basedOn w:val="Normal"/>
    <w:next w:val="Normal"/>
    <w:link w:val="Heading5Char"/>
    <w:uiPriority w:val="9"/>
    <w:unhideWhenUsed/>
    <w:qFormat/>
    <w:rsid w:val="00831ADE"/>
    <w:pPr>
      <w:keepNext/>
      <w:keepLines/>
      <w:spacing w:before="40" w:after="0"/>
      <w:outlineLvl w:val="4"/>
    </w:pPr>
    <w:rPr>
      <w:rFonts w:asciiTheme="majorHAnsi" w:eastAsiaTheme="majorEastAsia" w:hAnsiTheme="majorHAnsi" w:cstheme="majorBidi"/>
      <w:color w:val="21003E" w:themeColor="accent1" w:themeShade="BF"/>
    </w:rPr>
  </w:style>
  <w:style w:type="paragraph" w:styleId="Heading8">
    <w:name w:val="heading 8"/>
    <w:basedOn w:val="Normal"/>
    <w:next w:val="Normal"/>
    <w:link w:val="Heading8Char"/>
    <w:uiPriority w:val="9"/>
    <w:semiHidden/>
    <w:unhideWhenUsed/>
    <w:qFormat/>
    <w:rsid w:val="00AC457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0EA"/>
  </w:style>
  <w:style w:type="paragraph" w:styleId="Footer">
    <w:name w:val="footer"/>
    <w:basedOn w:val="Normal"/>
    <w:link w:val="FooterChar"/>
    <w:uiPriority w:val="99"/>
    <w:unhideWhenUsed/>
    <w:rsid w:val="00103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0EA"/>
  </w:style>
  <w:style w:type="paragraph" w:styleId="BalloonText">
    <w:name w:val="Balloon Text"/>
    <w:basedOn w:val="Normal"/>
    <w:link w:val="BalloonTextChar"/>
    <w:uiPriority w:val="99"/>
    <w:semiHidden/>
    <w:unhideWhenUsed/>
    <w:rsid w:val="00103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0EA"/>
    <w:rPr>
      <w:rFonts w:ascii="Tahoma" w:hAnsi="Tahoma" w:cs="Tahoma"/>
      <w:sz w:val="16"/>
      <w:szCs w:val="16"/>
    </w:rPr>
  </w:style>
  <w:style w:type="table" w:styleId="TableGrid">
    <w:name w:val="Table Grid"/>
    <w:basedOn w:val="TableNormal"/>
    <w:uiPriority w:val="59"/>
    <w:rsid w:val="00961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96127F"/>
    <w:pPr>
      <w:spacing w:after="0" w:line="240" w:lineRule="auto"/>
    </w:pPr>
    <w:tblPr>
      <w:tblStyleRowBandSize w:val="1"/>
      <w:tblStyleColBandSize w:val="1"/>
      <w:tblBorders>
        <w:top w:val="single" w:sz="8" w:space="0" w:color="00CC00" w:themeColor="accent3"/>
        <w:left w:val="single" w:sz="8" w:space="0" w:color="00CC00" w:themeColor="accent3"/>
        <w:bottom w:val="single" w:sz="8" w:space="0" w:color="00CC00" w:themeColor="accent3"/>
        <w:right w:val="single" w:sz="8" w:space="0" w:color="00CC00" w:themeColor="accent3"/>
      </w:tblBorders>
    </w:tblPr>
    <w:tblStylePr w:type="firstRow">
      <w:pPr>
        <w:spacing w:before="0" w:after="0" w:line="240" w:lineRule="auto"/>
      </w:pPr>
      <w:rPr>
        <w:b/>
        <w:bCs/>
        <w:color w:val="FFFFFF" w:themeColor="background1"/>
      </w:rPr>
      <w:tblPr/>
      <w:tcPr>
        <w:shd w:val="clear" w:color="auto" w:fill="00CC00" w:themeFill="accent3"/>
      </w:tcPr>
    </w:tblStylePr>
    <w:tblStylePr w:type="lastRow">
      <w:pPr>
        <w:spacing w:before="0" w:after="0" w:line="240" w:lineRule="auto"/>
      </w:pPr>
      <w:rPr>
        <w:b/>
        <w:bCs/>
      </w:rPr>
      <w:tblPr/>
      <w:tcPr>
        <w:tcBorders>
          <w:top w:val="double" w:sz="6" w:space="0" w:color="00CC00" w:themeColor="accent3"/>
          <w:left w:val="single" w:sz="8" w:space="0" w:color="00CC00" w:themeColor="accent3"/>
          <w:bottom w:val="single" w:sz="8" w:space="0" w:color="00CC00" w:themeColor="accent3"/>
          <w:right w:val="single" w:sz="8" w:space="0" w:color="00CC00" w:themeColor="accent3"/>
        </w:tcBorders>
      </w:tcPr>
    </w:tblStylePr>
    <w:tblStylePr w:type="firstCol">
      <w:rPr>
        <w:b/>
        <w:bCs/>
      </w:rPr>
    </w:tblStylePr>
    <w:tblStylePr w:type="lastCol">
      <w:rPr>
        <w:b/>
        <w:bCs/>
      </w:rPr>
    </w:tblStylePr>
    <w:tblStylePr w:type="band1Vert">
      <w:tblPr/>
      <w:tcPr>
        <w:tcBorders>
          <w:top w:val="single" w:sz="8" w:space="0" w:color="00CC00" w:themeColor="accent3"/>
          <w:left w:val="single" w:sz="8" w:space="0" w:color="00CC00" w:themeColor="accent3"/>
          <w:bottom w:val="single" w:sz="8" w:space="0" w:color="00CC00" w:themeColor="accent3"/>
          <w:right w:val="single" w:sz="8" w:space="0" w:color="00CC00" w:themeColor="accent3"/>
        </w:tcBorders>
      </w:tcPr>
    </w:tblStylePr>
    <w:tblStylePr w:type="band1Horz">
      <w:tblPr/>
      <w:tcPr>
        <w:tcBorders>
          <w:top w:val="single" w:sz="8" w:space="0" w:color="00CC00" w:themeColor="accent3"/>
          <w:left w:val="single" w:sz="8" w:space="0" w:color="00CC00" w:themeColor="accent3"/>
          <w:bottom w:val="single" w:sz="8" w:space="0" w:color="00CC00" w:themeColor="accent3"/>
          <w:right w:val="single" w:sz="8" w:space="0" w:color="00CC00" w:themeColor="accent3"/>
        </w:tcBorders>
      </w:tcPr>
    </w:tblStylePr>
  </w:style>
  <w:style w:type="character" w:customStyle="1" w:styleId="Heading1Char">
    <w:name w:val="Heading 1 Char"/>
    <w:basedOn w:val="DefaultParagraphFont"/>
    <w:link w:val="Heading1"/>
    <w:uiPriority w:val="9"/>
    <w:rsid w:val="00876DB0"/>
    <w:rPr>
      <w:rFonts w:asciiTheme="majorHAnsi" w:eastAsiaTheme="majorEastAsia" w:hAnsiTheme="majorHAnsi" w:cstheme="majorBidi"/>
      <w:b/>
      <w:bCs/>
      <w:color w:val="21003E" w:themeColor="accent1" w:themeShade="BF"/>
      <w:sz w:val="28"/>
      <w:szCs w:val="28"/>
    </w:rPr>
  </w:style>
  <w:style w:type="paragraph" w:styleId="TOCHeading">
    <w:name w:val="TOC Heading"/>
    <w:basedOn w:val="Heading1"/>
    <w:next w:val="Normal"/>
    <w:uiPriority w:val="39"/>
    <w:semiHidden/>
    <w:unhideWhenUsed/>
    <w:qFormat/>
    <w:rsid w:val="00876DB0"/>
    <w:pPr>
      <w:outlineLvl w:val="9"/>
    </w:pPr>
    <w:rPr>
      <w:lang w:val="en-US" w:eastAsia="ja-JP"/>
    </w:rPr>
  </w:style>
  <w:style w:type="paragraph" w:styleId="TOC1">
    <w:name w:val="toc 1"/>
    <w:basedOn w:val="Normal"/>
    <w:next w:val="Normal"/>
    <w:autoRedefine/>
    <w:uiPriority w:val="39"/>
    <w:unhideWhenUsed/>
    <w:rsid w:val="00A731DB"/>
    <w:pPr>
      <w:spacing w:after="100"/>
    </w:pPr>
  </w:style>
  <w:style w:type="character" w:styleId="Hyperlink">
    <w:name w:val="Hyperlink"/>
    <w:basedOn w:val="DefaultParagraphFont"/>
    <w:uiPriority w:val="99"/>
    <w:unhideWhenUsed/>
    <w:rsid w:val="00A731DB"/>
    <w:rPr>
      <w:color w:val="0070C0" w:themeColor="hyperlink"/>
      <w:u w:val="single"/>
    </w:rPr>
  </w:style>
  <w:style w:type="table" w:styleId="LightList-Accent1">
    <w:name w:val="Light List Accent 1"/>
    <w:basedOn w:val="TableNormal"/>
    <w:uiPriority w:val="61"/>
    <w:rsid w:val="00A731DB"/>
    <w:pPr>
      <w:spacing w:after="0" w:line="240" w:lineRule="auto"/>
    </w:pPr>
    <w:tblPr>
      <w:tblStyleRowBandSize w:val="1"/>
      <w:tblStyleColBandSize w:val="1"/>
      <w:tblBorders>
        <w:top w:val="single" w:sz="8" w:space="0" w:color="2D0054" w:themeColor="accent1"/>
        <w:left w:val="single" w:sz="8" w:space="0" w:color="2D0054" w:themeColor="accent1"/>
        <w:bottom w:val="single" w:sz="8" w:space="0" w:color="2D0054" w:themeColor="accent1"/>
        <w:right w:val="single" w:sz="8" w:space="0" w:color="2D0054" w:themeColor="accent1"/>
      </w:tblBorders>
    </w:tblPr>
    <w:tblStylePr w:type="firstRow">
      <w:pPr>
        <w:spacing w:before="0" w:after="0" w:line="240" w:lineRule="auto"/>
      </w:pPr>
      <w:rPr>
        <w:b/>
        <w:bCs/>
        <w:color w:val="FFFFFF" w:themeColor="background1"/>
      </w:rPr>
      <w:tblPr/>
      <w:tcPr>
        <w:shd w:val="clear" w:color="auto" w:fill="2D0054" w:themeFill="accent1"/>
      </w:tcPr>
    </w:tblStylePr>
    <w:tblStylePr w:type="lastRow">
      <w:pPr>
        <w:spacing w:before="0" w:after="0" w:line="240" w:lineRule="auto"/>
      </w:pPr>
      <w:rPr>
        <w:b/>
        <w:bCs/>
      </w:rPr>
      <w:tblPr/>
      <w:tcPr>
        <w:tcBorders>
          <w:top w:val="double" w:sz="6" w:space="0" w:color="2D0054" w:themeColor="accent1"/>
          <w:left w:val="single" w:sz="8" w:space="0" w:color="2D0054" w:themeColor="accent1"/>
          <w:bottom w:val="single" w:sz="8" w:space="0" w:color="2D0054" w:themeColor="accent1"/>
          <w:right w:val="single" w:sz="8" w:space="0" w:color="2D0054" w:themeColor="accent1"/>
        </w:tcBorders>
      </w:tcPr>
    </w:tblStylePr>
    <w:tblStylePr w:type="firstCol">
      <w:rPr>
        <w:b/>
        <w:bCs/>
      </w:rPr>
    </w:tblStylePr>
    <w:tblStylePr w:type="lastCol">
      <w:rPr>
        <w:b/>
        <w:bCs/>
      </w:rPr>
    </w:tblStylePr>
    <w:tblStylePr w:type="band1Vert">
      <w:tblPr/>
      <w:tcPr>
        <w:tcBorders>
          <w:top w:val="single" w:sz="8" w:space="0" w:color="2D0054" w:themeColor="accent1"/>
          <w:left w:val="single" w:sz="8" w:space="0" w:color="2D0054" w:themeColor="accent1"/>
          <w:bottom w:val="single" w:sz="8" w:space="0" w:color="2D0054" w:themeColor="accent1"/>
          <w:right w:val="single" w:sz="8" w:space="0" w:color="2D0054" w:themeColor="accent1"/>
        </w:tcBorders>
      </w:tcPr>
    </w:tblStylePr>
    <w:tblStylePr w:type="band1Horz">
      <w:tblPr/>
      <w:tcPr>
        <w:tcBorders>
          <w:top w:val="single" w:sz="8" w:space="0" w:color="2D0054" w:themeColor="accent1"/>
          <w:left w:val="single" w:sz="8" w:space="0" w:color="2D0054" w:themeColor="accent1"/>
          <w:bottom w:val="single" w:sz="8" w:space="0" w:color="2D0054" w:themeColor="accent1"/>
          <w:right w:val="single" w:sz="8" w:space="0" w:color="2D0054" w:themeColor="accent1"/>
        </w:tcBorders>
      </w:tcPr>
    </w:tblStylePr>
  </w:style>
  <w:style w:type="paragraph" w:styleId="NormalWeb">
    <w:name w:val="Normal (Web)"/>
    <w:basedOn w:val="Normal"/>
    <w:uiPriority w:val="99"/>
    <w:semiHidden/>
    <w:unhideWhenUsed/>
    <w:rsid w:val="00661A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
    <w:semiHidden/>
    <w:rsid w:val="00AC457D"/>
    <w:rPr>
      <w:rFonts w:asciiTheme="majorHAnsi" w:eastAsiaTheme="majorEastAsia" w:hAnsiTheme="majorHAnsi" w:cstheme="majorBidi"/>
      <w:color w:val="404040" w:themeColor="text1" w:themeTint="BF"/>
      <w:sz w:val="20"/>
      <w:szCs w:val="20"/>
    </w:rPr>
  </w:style>
  <w:style w:type="character" w:customStyle="1" w:styleId="Heading2Char">
    <w:name w:val="Heading 2 Char"/>
    <w:basedOn w:val="DefaultParagraphFont"/>
    <w:link w:val="Heading2"/>
    <w:uiPriority w:val="9"/>
    <w:rsid w:val="00AC457D"/>
    <w:rPr>
      <w:rFonts w:asciiTheme="majorHAnsi" w:eastAsiaTheme="majorEastAsia" w:hAnsiTheme="majorHAnsi" w:cstheme="majorBidi"/>
      <w:b/>
      <w:bCs/>
      <w:color w:val="2D0054" w:themeColor="accent1"/>
      <w:sz w:val="26"/>
      <w:szCs w:val="26"/>
    </w:rPr>
  </w:style>
  <w:style w:type="paragraph" w:customStyle="1" w:styleId="listbulletround1">
    <w:name w:val="listbulletround1"/>
    <w:basedOn w:val="Normal"/>
    <w:rsid w:val="00AC457D"/>
    <w:pPr>
      <w:numPr>
        <w:numId w:val="2"/>
      </w:numPr>
      <w:spacing w:before="120" w:after="120" w:line="240" w:lineRule="auto"/>
    </w:pPr>
    <w:rPr>
      <w:rFonts w:ascii="Arial" w:eastAsia="Times New Roman" w:hAnsi="Arial" w:cs="Times New Roman"/>
      <w:color w:val="000000"/>
      <w:sz w:val="20"/>
      <w:szCs w:val="20"/>
    </w:rPr>
  </w:style>
  <w:style w:type="paragraph" w:customStyle="1" w:styleId="listbulletdash2">
    <w:name w:val="listbulletdash2"/>
    <w:basedOn w:val="Normal"/>
    <w:rsid w:val="00AC457D"/>
    <w:pPr>
      <w:numPr>
        <w:numId w:val="3"/>
      </w:numPr>
      <w:autoSpaceDE w:val="0"/>
      <w:autoSpaceDN w:val="0"/>
      <w:spacing w:before="120" w:after="120" w:line="240" w:lineRule="auto"/>
    </w:pPr>
    <w:rPr>
      <w:rFonts w:ascii="Arial" w:eastAsia="Times New Roman" w:hAnsi="Arial" w:cs="Arial"/>
      <w:color w:val="000000"/>
      <w:sz w:val="20"/>
      <w:szCs w:val="20"/>
    </w:rPr>
  </w:style>
  <w:style w:type="character" w:styleId="IntenseEmphasis">
    <w:name w:val="Intense Emphasis"/>
    <w:basedOn w:val="DefaultParagraphFont"/>
    <w:uiPriority w:val="21"/>
    <w:qFormat/>
    <w:rsid w:val="00225422"/>
    <w:rPr>
      <w:b/>
      <w:bCs/>
      <w:i/>
      <w:iCs/>
      <w:color w:val="2D0054" w:themeColor="accent1"/>
    </w:rPr>
  </w:style>
  <w:style w:type="paragraph" w:styleId="ListParagraph">
    <w:name w:val="List Paragraph"/>
    <w:basedOn w:val="Normal"/>
    <w:uiPriority w:val="34"/>
    <w:qFormat/>
    <w:rsid w:val="00225422"/>
    <w:pPr>
      <w:ind w:left="720"/>
      <w:contextualSpacing/>
    </w:pPr>
  </w:style>
  <w:style w:type="character" w:customStyle="1" w:styleId="Heading3Char">
    <w:name w:val="Heading 3 Char"/>
    <w:basedOn w:val="DefaultParagraphFont"/>
    <w:link w:val="Heading3"/>
    <w:uiPriority w:val="9"/>
    <w:rsid w:val="0017211F"/>
    <w:rPr>
      <w:rFonts w:asciiTheme="majorHAnsi" w:eastAsiaTheme="majorEastAsia" w:hAnsiTheme="majorHAnsi" w:cstheme="majorBidi"/>
      <w:color w:val="160029" w:themeColor="accent1" w:themeShade="7F"/>
      <w:sz w:val="24"/>
      <w:szCs w:val="24"/>
    </w:rPr>
  </w:style>
  <w:style w:type="paragraph" w:styleId="TOC3">
    <w:name w:val="toc 3"/>
    <w:basedOn w:val="Normal"/>
    <w:next w:val="Normal"/>
    <w:autoRedefine/>
    <w:uiPriority w:val="39"/>
    <w:unhideWhenUsed/>
    <w:rsid w:val="00465842"/>
    <w:pPr>
      <w:spacing w:after="100"/>
      <w:ind w:left="440"/>
    </w:pPr>
  </w:style>
  <w:style w:type="paragraph" w:styleId="NoSpacing">
    <w:name w:val="No Spacing"/>
    <w:uiPriority w:val="1"/>
    <w:qFormat/>
    <w:rsid w:val="006F5F31"/>
    <w:pPr>
      <w:spacing w:after="0" w:line="240" w:lineRule="auto"/>
    </w:pPr>
  </w:style>
  <w:style w:type="character" w:customStyle="1" w:styleId="Heading4Char">
    <w:name w:val="Heading 4 Char"/>
    <w:basedOn w:val="DefaultParagraphFont"/>
    <w:link w:val="Heading4"/>
    <w:uiPriority w:val="9"/>
    <w:rsid w:val="00831ADE"/>
    <w:rPr>
      <w:rFonts w:asciiTheme="majorHAnsi" w:eastAsiaTheme="majorEastAsia" w:hAnsiTheme="majorHAnsi" w:cstheme="majorBidi"/>
      <w:i/>
      <w:iCs/>
      <w:color w:val="21003E" w:themeColor="accent1" w:themeShade="BF"/>
    </w:rPr>
  </w:style>
  <w:style w:type="character" w:customStyle="1" w:styleId="Heading5Char">
    <w:name w:val="Heading 5 Char"/>
    <w:basedOn w:val="DefaultParagraphFont"/>
    <w:link w:val="Heading5"/>
    <w:uiPriority w:val="9"/>
    <w:rsid w:val="00831ADE"/>
    <w:rPr>
      <w:rFonts w:asciiTheme="majorHAnsi" w:eastAsiaTheme="majorEastAsia" w:hAnsiTheme="majorHAnsi" w:cstheme="majorBidi"/>
      <w:color w:val="21003E" w:themeColor="accent1" w:themeShade="BF"/>
    </w:rPr>
  </w:style>
  <w:style w:type="character" w:styleId="FollowedHyperlink">
    <w:name w:val="FollowedHyperlink"/>
    <w:basedOn w:val="DefaultParagraphFont"/>
    <w:uiPriority w:val="99"/>
    <w:semiHidden/>
    <w:unhideWhenUsed/>
    <w:rsid w:val="00665098"/>
    <w:rPr>
      <w:color w:val="800080" w:themeColor="followedHyperlink"/>
      <w:u w:val="single"/>
    </w:rPr>
  </w:style>
  <w:style w:type="paragraph" w:customStyle="1" w:styleId="msonormal0">
    <w:name w:val="msonormal"/>
    <w:basedOn w:val="Normal"/>
    <w:uiPriority w:val="99"/>
    <w:semiHidden/>
    <w:rsid w:val="0066509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semiHidden/>
    <w:unhideWhenUsed/>
    <w:rsid w:val="00665098"/>
    <w:pPr>
      <w:tabs>
        <w:tab w:val="right" w:leader="dot" w:pos="9828"/>
      </w:tabs>
      <w:spacing w:after="100"/>
      <w:ind w:left="720"/>
    </w:pPr>
    <w:rPr>
      <w:color w:val="000000" w:themeColor="text1"/>
    </w:rPr>
  </w:style>
  <w:style w:type="paragraph" w:styleId="CommentText">
    <w:name w:val="annotation text"/>
    <w:basedOn w:val="Normal"/>
    <w:link w:val="CommentTextChar"/>
    <w:uiPriority w:val="99"/>
    <w:unhideWhenUsed/>
    <w:rsid w:val="00665098"/>
    <w:pPr>
      <w:spacing w:line="240" w:lineRule="auto"/>
    </w:pPr>
    <w:rPr>
      <w:sz w:val="20"/>
      <w:szCs w:val="20"/>
    </w:rPr>
  </w:style>
  <w:style w:type="character" w:customStyle="1" w:styleId="CommentTextChar">
    <w:name w:val="Comment Text Char"/>
    <w:basedOn w:val="DefaultParagraphFont"/>
    <w:link w:val="CommentText"/>
    <w:uiPriority w:val="99"/>
    <w:rsid w:val="00665098"/>
    <w:rPr>
      <w:sz w:val="20"/>
      <w:szCs w:val="20"/>
    </w:rPr>
  </w:style>
  <w:style w:type="paragraph" w:styleId="Caption">
    <w:name w:val="caption"/>
    <w:basedOn w:val="Normal"/>
    <w:next w:val="Normal"/>
    <w:uiPriority w:val="35"/>
    <w:semiHidden/>
    <w:unhideWhenUsed/>
    <w:qFormat/>
    <w:rsid w:val="00665098"/>
    <w:pPr>
      <w:spacing w:line="240" w:lineRule="auto"/>
    </w:pPr>
    <w:rPr>
      <w:i/>
      <w:iCs/>
      <w:color w:val="2D0054" w:themeColor="text2"/>
      <w:sz w:val="18"/>
      <w:szCs w:val="18"/>
    </w:rPr>
  </w:style>
  <w:style w:type="paragraph" w:styleId="CommentSubject">
    <w:name w:val="annotation subject"/>
    <w:basedOn w:val="CommentText"/>
    <w:next w:val="CommentText"/>
    <w:link w:val="CommentSubjectChar"/>
    <w:uiPriority w:val="99"/>
    <w:semiHidden/>
    <w:unhideWhenUsed/>
    <w:rsid w:val="00665098"/>
    <w:rPr>
      <w:b/>
      <w:bCs/>
    </w:rPr>
  </w:style>
  <w:style w:type="character" w:customStyle="1" w:styleId="CommentSubjectChar">
    <w:name w:val="Comment Subject Char"/>
    <w:basedOn w:val="CommentTextChar"/>
    <w:link w:val="CommentSubject"/>
    <w:uiPriority w:val="99"/>
    <w:semiHidden/>
    <w:rsid w:val="00665098"/>
    <w:rPr>
      <w:b/>
      <w:bCs/>
      <w:sz w:val="20"/>
      <w:szCs w:val="20"/>
    </w:rPr>
  </w:style>
  <w:style w:type="paragraph" w:customStyle="1" w:styleId="paragraph-one">
    <w:name w:val="paragraph-one"/>
    <w:basedOn w:val="Normal"/>
    <w:uiPriority w:val="99"/>
    <w:semiHidden/>
    <w:rsid w:val="00665098"/>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65098"/>
    <w:rPr>
      <w:sz w:val="16"/>
      <w:szCs w:val="16"/>
    </w:rPr>
  </w:style>
  <w:style w:type="character" w:customStyle="1" w:styleId="dfrq">
    <w:name w:val="df_rq"/>
    <w:basedOn w:val="DefaultParagraphFont"/>
    <w:rsid w:val="00665098"/>
  </w:style>
  <w:style w:type="character" w:customStyle="1" w:styleId="UnresolvedMention1">
    <w:name w:val="Unresolved Mention1"/>
    <w:basedOn w:val="DefaultParagraphFont"/>
    <w:uiPriority w:val="99"/>
    <w:semiHidden/>
    <w:rsid w:val="00665098"/>
    <w:rPr>
      <w:color w:val="605E5C"/>
      <w:shd w:val="clear" w:color="auto" w:fill="E1DFDD"/>
    </w:rPr>
  </w:style>
  <w:style w:type="table" w:customStyle="1" w:styleId="GridTable2-Accent11">
    <w:name w:val="Grid Table 2 - Accent 11"/>
    <w:basedOn w:val="TableNormal"/>
    <w:uiPriority w:val="47"/>
    <w:rsid w:val="00665098"/>
    <w:pPr>
      <w:spacing w:after="0" w:line="240" w:lineRule="auto"/>
    </w:pPr>
    <w:tblPr>
      <w:tblStyleRowBandSize w:val="1"/>
      <w:tblStyleColBandSize w:val="1"/>
      <w:tblInd w:w="0" w:type="nil"/>
      <w:tblBorders>
        <w:top w:val="single" w:sz="2" w:space="0" w:color="8700FE" w:themeColor="accent1" w:themeTint="99"/>
        <w:bottom w:val="single" w:sz="2" w:space="0" w:color="8700FE" w:themeColor="accent1" w:themeTint="99"/>
        <w:insideH w:val="single" w:sz="2" w:space="0" w:color="8700FE" w:themeColor="accent1" w:themeTint="99"/>
        <w:insideV w:val="single" w:sz="2" w:space="0" w:color="8700FE" w:themeColor="accent1" w:themeTint="99"/>
      </w:tblBorders>
    </w:tblPr>
    <w:tblStylePr w:type="firstRow">
      <w:rPr>
        <w:b/>
        <w:bCs/>
      </w:rPr>
      <w:tblPr/>
      <w:tcPr>
        <w:tcBorders>
          <w:top w:val="nil"/>
          <w:bottom w:val="single" w:sz="12" w:space="0" w:color="8700FE" w:themeColor="accent1" w:themeTint="99"/>
          <w:insideH w:val="nil"/>
          <w:insideV w:val="nil"/>
        </w:tcBorders>
        <w:shd w:val="clear" w:color="auto" w:fill="FFFFFF" w:themeFill="background1"/>
      </w:tcPr>
    </w:tblStylePr>
    <w:tblStylePr w:type="lastRow">
      <w:rPr>
        <w:b/>
        <w:bCs/>
      </w:rPr>
      <w:tblPr/>
      <w:tcPr>
        <w:tcBorders>
          <w:top w:val="double" w:sz="2" w:space="0" w:color="8700F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A9FF" w:themeFill="accent1" w:themeFillTint="33"/>
      </w:tcPr>
    </w:tblStylePr>
    <w:tblStylePr w:type="band1Horz">
      <w:tblPr/>
      <w:tcPr>
        <w:shd w:val="clear" w:color="auto" w:fill="D7A9FF" w:themeFill="accent1" w:themeFillTint="33"/>
      </w:tcPr>
    </w:tblStylePr>
  </w:style>
  <w:style w:type="table" w:customStyle="1" w:styleId="GridTable4-Accent11">
    <w:name w:val="Grid Table 4 - Accent 11"/>
    <w:basedOn w:val="TableNormal"/>
    <w:uiPriority w:val="49"/>
    <w:rsid w:val="00665098"/>
    <w:pPr>
      <w:spacing w:after="0" w:line="240" w:lineRule="auto"/>
    </w:pPr>
    <w:tblPr>
      <w:tblStyleRowBandSize w:val="1"/>
      <w:tblStyleColBandSize w:val="1"/>
      <w:tblInd w:w="0" w:type="nil"/>
      <w:tblBorders>
        <w:top w:val="single" w:sz="4" w:space="0" w:color="8700FE" w:themeColor="accent1" w:themeTint="99"/>
        <w:left w:val="single" w:sz="4" w:space="0" w:color="8700FE" w:themeColor="accent1" w:themeTint="99"/>
        <w:bottom w:val="single" w:sz="4" w:space="0" w:color="8700FE" w:themeColor="accent1" w:themeTint="99"/>
        <w:right w:val="single" w:sz="4" w:space="0" w:color="8700FE" w:themeColor="accent1" w:themeTint="99"/>
        <w:insideH w:val="single" w:sz="4" w:space="0" w:color="8700FE" w:themeColor="accent1" w:themeTint="99"/>
        <w:insideV w:val="single" w:sz="4" w:space="0" w:color="8700FE" w:themeColor="accent1" w:themeTint="99"/>
      </w:tblBorders>
    </w:tblPr>
    <w:tblStylePr w:type="firstRow">
      <w:rPr>
        <w:b/>
        <w:bCs/>
        <w:color w:val="FFFFFF" w:themeColor="background1"/>
      </w:rPr>
      <w:tblPr/>
      <w:tcPr>
        <w:tcBorders>
          <w:top w:val="single" w:sz="4" w:space="0" w:color="2D0054" w:themeColor="accent1"/>
          <w:left w:val="single" w:sz="4" w:space="0" w:color="2D0054" w:themeColor="accent1"/>
          <w:bottom w:val="single" w:sz="4" w:space="0" w:color="2D0054" w:themeColor="accent1"/>
          <w:right w:val="single" w:sz="4" w:space="0" w:color="2D0054" w:themeColor="accent1"/>
          <w:insideH w:val="nil"/>
          <w:insideV w:val="nil"/>
        </w:tcBorders>
        <w:shd w:val="clear" w:color="auto" w:fill="2D0054" w:themeFill="accent1"/>
      </w:tcPr>
    </w:tblStylePr>
    <w:tblStylePr w:type="lastRow">
      <w:rPr>
        <w:b/>
        <w:bCs/>
      </w:rPr>
      <w:tblPr/>
      <w:tcPr>
        <w:tcBorders>
          <w:top w:val="double" w:sz="4" w:space="0" w:color="2D0054" w:themeColor="accent1"/>
        </w:tcBorders>
      </w:tcPr>
    </w:tblStylePr>
    <w:tblStylePr w:type="firstCol">
      <w:rPr>
        <w:b/>
        <w:bCs/>
      </w:rPr>
    </w:tblStylePr>
    <w:tblStylePr w:type="lastCol">
      <w:rPr>
        <w:b/>
        <w:bCs/>
      </w:rPr>
    </w:tblStylePr>
    <w:tblStylePr w:type="band1Vert">
      <w:tblPr/>
      <w:tcPr>
        <w:shd w:val="clear" w:color="auto" w:fill="D7A9FF" w:themeFill="accent1" w:themeFillTint="33"/>
      </w:tcPr>
    </w:tblStylePr>
    <w:tblStylePr w:type="band1Horz">
      <w:tblPr/>
      <w:tcPr>
        <w:shd w:val="clear" w:color="auto" w:fill="D7A9F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7079">
      <w:bodyDiv w:val="1"/>
      <w:marLeft w:val="0"/>
      <w:marRight w:val="0"/>
      <w:marTop w:val="0"/>
      <w:marBottom w:val="0"/>
      <w:divBdr>
        <w:top w:val="none" w:sz="0" w:space="0" w:color="auto"/>
        <w:left w:val="none" w:sz="0" w:space="0" w:color="auto"/>
        <w:bottom w:val="none" w:sz="0" w:space="0" w:color="auto"/>
        <w:right w:val="none" w:sz="0" w:space="0" w:color="auto"/>
      </w:divBdr>
    </w:div>
    <w:div w:id="279729334">
      <w:bodyDiv w:val="1"/>
      <w:marLeft w:val="0"/>
      <w:marRight w:val="0"/>
      <w:marTop w:val="0"/>
      <w:marBottom w:val="0"/>
      <w:divBdr>
        <w:top w:val="none" w:sz="0" w:space="0" w:color="auto"/>
        <w:left w:val="none" w:sz="0" w:space="0" w:color="auto"/>
        <w:bottom w:val="none" w:sz="0" w:space="0" w:color="auto"/>
        <w:right w:val="none" w:sz="0" w:space="0" w:color="auto"/>
      </w:divBdr>
    </w:div>
    <w:div w:id="578759519">
      <w:bodyDiv w:val="1"/>
      <w:marLeft w:val="0"/>
      <w:marRight w:val="0"/>
      <w:marTop w:val="0"/>
      <w:marBottom w:val="0"/>
      <w:divBdr>
        <w:top w:val="none" w:sz="0" w:space="0" w:color="auto"/>
        <w:left w:val="none" w:sz="0" w:space="0" w:color="auto"/>
        <w:bottom w:val="none" w:sz="0" w:space="0" w:color="auto"/>
        <w:right w:val="none" w:sz="0" w:space="0" w:color="auto"/>
      </w:divBdr>
    </w:div>
    <w:div w:id="649135209">
      <w:bodyDiv w:val="1"/>
      <w:marLeft w:val="0"/>
      <w:marRight w:val="0"/>
      <w:marTop w:val="0"/>
      <w:marBottom w:val="0"/>
      <w:divBdr>
        <w:top w:val="none" w:sz="0" w:space="0" w:color="auto"/>
        <w:left w:val="none" w:sz="0" w:space="0" w:color="auto"/>
        <w:bottom w:val="none" w:sz="0" w:space="0" w:color="auto"/>
        <w:right w:val="none" w:sz="0" w:space="0" w:color="auto"/>
      </w:divBdr>
    </w:div>
    <w:div w:id="689066048">
      <w:bodyDiv w:val="1"/>
      <w:marLeft w:val="0"/>
      <w:marRight w:val="0"/>
      <w:marTop w:val="0"/>
      <w:marBottom w:val="0"/>
      <w:divBdr>
        <w:top w:val="none" w:sz="0" w:space="0" w:color="auto"/>
        <w:left w:val="none" w:sz="0" w:space="0" w:color="auto"/>
        <w:bottom w:val="none" w:sz="0" w:space="0" w:color="auto"/>
        <w:right w:val="none" w:sz="0" w:space="0" w:color="auto"/>
      </w:divBdr>
    </w:div>
    <w:div w:id="736130733">
      <w:bodyDiv w:val="1"/>
      <w:marLeft w:val="0"/>
      <w:marRight w:val="0"/>
      <w:marTop w:val="0"/>
      <w:marBottom w:val="0"/>
      <w:divBdr>
        <w:top w:val="none" w:sz="0" w:space="0" w:color="auto"/>
        <w:left w:val="none" w:sz="0" w:space="0" w:color="auto"/>
        <w:bottom w:val="none" w:sz="0" w:space="0" w:color="auto"/>
        <w:right w:val="none" w:sz="0" w:space="0" w:color="auto"/>
      </w:divBdr>
    </w:div>
    <w:div w:id="1184980030">
      <w:bodyDiv w:val="1"/>
      <w:marLeft w:val="0"/>
      <w:marRight w:val="0"/>
      <w:marTop w:val="0"/>
      <w:marBottom w:val="0"/>
      <w:divBdr>
        <w:top w:val="none" w:sz="0" w:space="0" w:color="auto"/>
        <w:left w:val="none" w:sz="0" w:space="0" w:color="auto"/>
        <w:bottom w:val="none" w:sz="0" w:space="0" w:color="auto"/>
        <w:right w:val="none" w:sz="0" w:space="0" w:color="auto"/>
      </w:divBdr>
    </w:div>
    <w:div w:id="1209803607">
      <w:bodyDiv w:val="1"/>
      <w:marLeft w:val="0"/>
      <w:marRight w:val="0"/>
      <w:marTop w:val="0"/>
      <w:marBottom w:val="0"/>
      <w:divBdr>
        <w:top w:val="none" w:sz="0" w:space="0" w:color="auto"/>
        <w:left w:val="none" w:sz="0" w:space="0" w:color="auto"/>
        <w:bottom w:val="none" w:sz="0" w:space="0" w:color="auto"/>
        <w:right w:val="none" w:sz="0" w:space="0" w:color="auto"/>
      </w:divBdr>
    </w:div>
    <w:div w:id="1433286470">
      <w:bodyDiv w:val="1"/>
      <w:marLeft w:val="0"/>
      <w:marRight w:val="0"/>
      <w:marTop w:val="0"/>
      <w:marBottom w:val="0"/>
      <w:divBdr>
        <w:top w:val="none" w:sz="0" w:space="0" w:color="auto"/>
        <w:left w:val="none" w:sz="0" w:space="0" w:color="auto"/>
        <w:bottom w:val="none" w:sz="0" w:space="0" w:color="auto"/>
        <w:right w:val="none" w:sz="0" w:space="0" w:color="auto"/>
      </w:divBdr>
    </w:div>
    <w:div w:id="151541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t>% Delivery Progress of all 55 C&amp;E Actions in 2021/22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Action Delivery</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7F60-40C0-BBEB-967A4582DFB0}"/>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7F60-40C0-BBEB-967A4582DFB0}"/>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7F60-40C0-BBEB-967A4582DFB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Actions Not Started</c:v>
                </c:pt>
                <c:pt idx="1">
                  <c:v>Actions In-Progress</c:v>
                </c:pt>
                <c:pt idx="2">
                  <c:v>Actions Completed </c:v>
                </c:pt>
              </c:strCache>
            </c:strRef>
          </c:cat>
          <c:val>
            <c:numRef>
              <c:f>Sheet1!$B$2:$B$4</c:f>
              <c:numCache>
                <c:formatCode>General</c:formatCode>
                <c:ptCount val="3"/>
                <c:pt idx="0">
                  <c:v>38</c:v>
                </c:pt>
                <c:pt idx="1">
                  <c:v>46</c:v>
                </c:pt>
                <c:pt idx="2">
                  <c:v>16</c:v>
                </c:pt>
              </c:numCache>
            </c:numRef>
          </c:val>
          <c:extLst>
            <c:ext xmlns:c16="http://schemas.microsoft.com/office/drawing/2014/chart" uri="{C3380CC4-5D6E-409C-BE32-E72D297353CC}">
              <c16:uniqueId val="{00000000-B017-4FA9-8A92-B60F4AB00C0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Council</a:t>
            </a:r>
            <a:r>
              <a:rPr lang="en-GB" sz="1200" b="1" baseline="0"/>
              <a:t> in-house carbon roadmap</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Sheet1!$B$1</c:f>
              <c:strCache>
                <c:ptCount val="1"/>
                <c:pt idx="0">
                  <c:v>Civic Way</c:v>
                </c:pt>
              </c:strCache>
            </c:strRef>
          </c:tx>
          <c:spPr>
            <a:ln w="28575" cap="rnd">
              <a:solidFill>
                <a:schemeClr val="accent1"/>
              </a:solidFill>
              <a:round/>
            </a:ln>
            <a:effectLst/>
          </c:spPr>
          <c:marker>
            <c:symbol val="none"/>
          </c:marker>
          <c:cat>
            <c:strRef>
              <c:f>Sheet1!$A$2:$A$5</c:f>
              <c:strCache>
                <c:ptCount val="4"/>
                <c:pt idx="0">
                  <c:v>2018/19</c:v>
                </c:pt>
                <c:pt idx="1">
                  <c:v>2022/23</c:v>
                </c:pt>
                <c:pt idx="2">
                  <c:v>2025/26</c:v>
                </c:pt>
                <c:pt idx="3">
                  <c:v>2029/30</c:v>
                </c:pt>
              </c:strCache>
            </c:strRef>
          </c:cat>
          <c:val>
            <c:numRef>
              <c:f>Sheet1!$B$2:$B$5</c:f>
              <c:numCache>
                <c:formatCode>General</c:formatCode>
                <c:ptCount val="4"/>
                <c:pt idx="0">
                  <c:v>208.3</c:v>
                </c:pt>
                <c:pt idx="1">
                  <c:v>204.7</c:v>
                </c:pt>
                <c:pt idx="2">
                  <c:v>203.9</c:v>
                </c:pt>
                <c:pt idx="3">
                  <c:v>26.5</c:v>
                </c:pt>
              </c:numCache>
            </c:numRef>
          </c:val>
          <c:smooth val="0"/>
          <c:extLst>
            <c:ext xmlns:c16="http://schemas.microsoft.com/office/drawing/2014/chart" uri="{C3380CC4-5D6E-409C-BE32-E72D297353CC}">
              <c16:uniqueId val="{00000000-F89A-46D6-B11E-2D39D6DE19DE}"/>
            </c:ext>
          </c:extLst>
        </c:ser>
        <c:ser>
          <c:idx val="1"/>
          <c:order val="1"/>
          <c:tx>
            <c:strRef>
              <c:f>Sheet1!$C$1</c:f>
              <c:strCache>
                <c:ptCount val="1"/>
                <c:pt idx="0">
                  <c:v>Public Buildings</c:v>
                </c:pt>
              </c:strCache>
            </c:strRef>
          </c:tx>
          <c:spPr>
            <a:ln w="28575" cap="rnd">
              <a:solidFill>
                <a:schemeClr val="accent2"/>
              </a:solidFill>
              <a:round/>
            </a:ln>
            <a:effectLst/>
          </c:spPr>
          <c:marker>
            <c:symbol val="none"/>
          </c:marker>
          <c:cat>
            <c:strRef>
              <c:f>Sheet1!$A$2:$A$5</c:f>
              <c:strCache>
                <c:ptCount val="4"/>
                <c:pt idx="0">
                  <c:v>2018/19</c:v>
                </c:pt>
                <c:pt idx="1">
                  <c:v>2022/23</c:v>
                </c:pt>
                <c:pt idx="2">
                  <c:v>2025/26</c:v>
                </c:pt>
                <c:pt idx="3">
                  <c:v>2029/30</c:v>
                </c:pt>
              </c:strCache>
            </c:strRef>
          </c:cat>
          <c:val>
            <c:numRef>
              <c:f>Sheet1!$C$2:$C$5</c:f>
              <c:numCache>
                <c:formatCode>General</c:formatCode>
                <c:ptCount val="4"/>
                <c:pt idx="0">
                  <c:v>151.80000000000001</c:v>
                </c:pt>
                <c:pt idx="1">
                  <c:v>148.69999999999999</c:v>
                </c:pt>
                <c:pt idx="2">
                  <c:v>141.19999999999999</c:v>
                </c:pt>
                <c:pt idx="3">
                  <c:v>37.9</c:v>
                </c:pt>
              </c:numCache>
            </c:numRef>
          </c:val>
          <c:smooth val="0"/>
          <c:extLst>
            <c:ext xmlns:c16="http://schemas.microsoft.com/office/drawing/2014/chart" uri="{C3380CC4-5D6E-409C-BE32-E72D297353CC}">
              <c16:uniqueId val="{00000001-F89A-46D6-B11E-2D39D6DE19DE}"/>
            </c:ext>
          </c:extLst>
        </c:ser>
        <c:ser>
          <c:idx val="2"/>
          <c:order val="2"/>
          <c:tx>
            <c:strRef>
              <c:f>Sheet1!$D$1</c:f>
              <c:strCache>
                <c:ptCount val="1"/>
                <c:pt idx="0">
                  <c:v>B. Depot</c:v>
                </c:pt>
              </c:strCache>
            </c:strRef>
          </c:tx>
          <c:spPr>
            <a:ln w="28575" cap="rnd">
              <a:solidFill>
                <a:schemeClr val="accent3"/>
              </a:solidFill>
              <a:round/>
            </a:ln>
            <a:effectLst/>
          </c:spPr>
          <c:marker>
            <c:symbol val="none"/>
          </c:marker>
          <c:cat>
            <c:strRef>
              <c:f>Sheet1!$A$2:$A$5</c:f>
              <c:strCache>
                <c:ptCount val="4"/>
                <c:pt idx="0">
                  <c:v>2018/19</c:v>
                </c:pt>
                <c:pt idx="1">
                  <c:v>2022/23</c:v>
                </c:pt>
                <c:pt idx="2">
                  <c:v>2025/26</c:v>
                </c:pt>
                <c:pt idx="3">
                  <c:v>2029/30</c:v>
                </c:pt>
              </c:strCache>
            </c:strRef>
          </c:cat>
          <c:val>
            <c:numRef>
              <c:f>Sheet1!$D$2:$D$5</c:f>
              <c:numCache>
                <c:formatCode>General</c:formatCode>
                <c:ptCount val="4"/>
                <c:pt idx="0">
                  <c:v>75.099999999999994</c:v>
                </c:pt>
                <c:pt idx="1">
                  <c:v>65.400000000000006</c:v>
                </c:pt>
                <c:pt idx="2">
                  <c:v>24</c:v>
                </c:pt>
                <c:pt idx="3">
                  <c:v>8.5</c:v>
                </c:pt>
              </c:numCache>
            </c:numRef>
          </c:val>
          <c:smooth val="0"/>
          <c:extLst>
            <c:ext xmlns:c16="http://schemas.microsoft.com/office/drawing/2014/chart" uri="{C3380CC4-5D6E-409C-BE32-E72D297353CC}">
              <c16:uniqueId val="{00000002-F89A-46D6-B11E-2D39D6DE19DE}"/>
            </c:ext>
          </c:extLst>
        </c:ser>
        <c:ser>
          <c:idx val="3"/>
          <c:order val="3"/>
          <c:tx>
            <c:strRef>
              <c:f>Sheet1!$E$1</c:f>
              <c:strCache>
                <c:ptCount val="1"/>
                <c:pt idx="0">
                  <c:v>Rosliston</c:v>
                </c:pt>
              </c:strCache>
            </c:strRef>
          </c:tx>
          <c:spPr>
            <a:ln w="28575" cap="rnd">
              <a:solidFill>
                <a:schemeClr val="accent4"/>
              </a:solidFill>
              <a:round/>
            </a:ln>
            <a:effectLst/>
          </c:spPr>
          <c:marker>
            <c:symbol val="none"/>
          </c:marker>
          <c:cat>
            <c:strRef>
              <c:f>Sheet1!$A$2:$A$5</c:f>
              <c:strCache>
                <c:ptCount val="4"/>
                <c:pt idx="0">
                  <c:v>2018/19</c:v>
                </c:pt>
                <c:pt idx="1">
                  <c:v>2022/23</c:v>
                </c:pt>
                <c:pt idx="2">
                  <c:v>2025/26</c:v>
                </c:pt>
                <c:pt idx="3">
                  <c:v>2029/30</c:v>
                </c:pt>
              </c:strCache>
            </c:strRef>
          </c:cat>
          <c:val>
            <c:numRef>
              <c:f>Sheet1!$E$2:$E$5</c:f>
              <c:numCache>
                <c:formatCode>General</c:formatCode>
                <c:ptCount val="4"/>
                <c:pt idx="0">
                  <c:v>135.9</c:v>
                </c:pt>
                <c:pt idx="1">
                  <c:v>130.80000000000001</c:v>
                </c:pt>
                <c:pt idx="2">
                  <c:v>126.8</c:v>
                </c:pt>
                <c:pt idx="3">
                  <c:v>0</c:v>
                </c:pt>
              </c:numCache>
            </c:numRef>
          </c:val>
          <c:smooth val="0"/>
          <c:extLst>
            <c:ext xmlns:c16="http://schemas.microsoft.com/office/drawing/2014/chart" uri="{C3380CC4-5D6E-409C-BE32-E72D297353CC}">
              <c16:uniqueId val="{00000003-F89A-46D6-B11E-2D39D6DE19DE}"/>
            </c:ext>
          </c:extLst>
        </c:ser>
        <c:ser>
          <c:idx val="4"/>
          <c:order val="4"/>
          <c:tx>
            <c:strRef>
              <c:f>Sheet1!$F$1</c:f>
              <c:strCache>
                <c:ptCount val="1"/>
                <c:pt idx="0">
                  <c:v>Leisure C's</c:v>
                </c:pt>
              </c:strCache>
            </c:strRef>
          </c:tx>
          <c:spPr>
            <a:ln w="28575" cap="rnd">
              <a:solidFill>
                <a:schemeClr val="accent5"/>
              </a:solidFill>
              <a:round/>
            </a:ln>
            <a:effectLst/>
          </c:spPr>
          <c:marker>
            <c:symbol val="none"/>
          </c:marker>
          <c:cat>
            <c:strRef>
              <c:f>Sheet1!$A$2:$A$5</c:f>
              <c:strCache>
                <c:ptCount val="4"/>
                <c:pt idx="0">
                  <c:v>2018/19</c:v>
                </c:pt>
                <c:pt idx="1">
                  <c:v>2022/23</c:v>
                </c:pt>
                <c:pt idx="2">
                  <c:v>2025/26</c:v>
                </c:pt>
                <c:pt idx="3">
                  <c:v>2029/30</c:v>
                </c:pt>
              </c:strCache>
            </c:strRef>
          </c:cat>
          <c:val>
            <c:numRef>
              <c:f>Sheet1!$F$2:$F$5</c:f>
              <c:numCache>
                <c:formatCode>General</c:formatCode>
                <c:ptCount val="4"/>
                <c:pt idx="0">
                  <c:v>1202</c:v>
                </c:pt>
                <c:pt idx="1">
                  <c:v>375.6</c:v>
                </c:pt>
                <c:pt idx="2">
                  <c:v>280.60000000000002</c:v>
                </c:pt>
                <c:pt idx="3">
                  <c:v>22.6</c:v>
                </c:pt>
              </c:numCache>
            </c:numRef>
          </c:val>
          <c:smooth val="0"/>
          <c:extLst>
            <c:ext xmlns:c16="http://schemas.microsoft.com/office/drawing/2014/chart" uri="{C3380CC4-5D6E-409C-BE32-E72D297353CC}">
              <c16:uniqueId val="{00000004-F89A-46D6-B11E-2D39D6DE19DE}"/>
            </c:ext>
          </c:extLst>
        </c:ser>
        <c:ser>
          <c:idx val="5"/>
          <c:order val="5"/>
          <c:tx>
            <c:strRef>
              <c:f>Sheet1!$G$1</c:f>
              <c:strCache>
                <c:ptCount val="1"/>
                <c:pt idx="0">
                  <c:v>Fleet</c:v>
                </c:pt>
              </c:strCache>
            </c:strRef>
          </c:tx>
          <c:spPr>
            <a:ln w="28575" cap="rnd">
              <a:solidFill>
                <a:schemeClr val="accent6"/>
              </a:solidFill>
              <a:round/>
            </a:ln>
            <a:effectLst/>
          </c:spPr>
          <c:marker>
            <c:symbol val="none"/>
          </c:marker>
          <c:cat>
            <c:strRef>
              <c:f>Sheet1!$A$2:$A$5</c:f>
              <c:strCache>
                <c:ptCount val="4"/>
                <c:pt idx="0">
                  <c:v>2018/19</c:v>
                </c:pt>
                <c:pt idx="1">
                  <c:v>2022/23</c:v>
                </c:pt>
                <c:pt idx="2">
                  <c:v>2025/26</c:v>
                </c:pt>
                <c:pt idx="3">
                  <c:v>2029/30</c:v>
                </c:pt>
              </c:strCache>
            </c:strRef>
          </c:cat>
          <c:val>
            <c:numRef>
              <c:f>Sheet1!$G$2:$G$5</c:f>
              <c:numCache>
                <c:formatCode>General</c:formatCode>
                <c:ptCount val="4"/>
                <c:pt idx="0">
                  <c:v>721.7</c:v>
                </c:pt>
                <c:pt idx="1">
                  <c:v>634.9</c:v>
                </c:pt>
                <c:pt idx="2">
                  <c:v>463.8</c:v>
                </c:pt>
                <c:pt idx="3">
                  <c:v>0</c:v>
                </c:pt>
              </c:numCache>
            </c:numRef>
          </c:val>
          <c:smooth val="0"/>
          <c:extLst>
            <c:ext xmlns:c16="http://schemas.microsoft.com/office/drawing/2014/chart" uri="{C3380CC4-5D6E-409C-BE32-E72D297353CC}">
              <c16:uniqueId val="{00000005-F89A-46D6-B11E-2D39D6DE19DE}"/>
            </c:ext>
          </c:extLst>
        </c:ser>
        <c:ser>
          <c:idx val="6"/>
          <c:order val="6"/>
          <c:tx>
            <c:strRef>
              <c:f>Sheet1!$H$1</c:f>
              <c:strCache>
                <c:ptCount val="1"/>
                <c:pt idx="0">
                  <c:v>Council carbon roadmap</c:v>
                </c:pt>
              </c:strCache>
            </c:strRef>
          </c:tx>
          <c:spPr>
            <a:ln w="28575" cap="rnd">
              <a:solidFill>
                <a:schemeClr val="accent1">
                  <a:lumMod val="60000"/>
                </a:schemeClr>
              </a:solidFill>
              <a:round/>
            </a:ln>
            <a:effectLst/>
          </c:spPr>
          <c:marker>
            <c:symbol val="none"/>
          </c:marker>
          <c:cat>
            <c:strRef>
              <c:f>Sheet1!$A$2:$A$5</c:f>
              <c:strCache>
                <c:ptCount val="4"/>
                <c:pt idx="0">
                  <c:v>2018/19</c:v>
                </c:pt>
                <c:pt idx="1">
                  <c:v>2022/23</c:v>
                </c:pt>
                <c:pt idx="2">
                  <c:v>2025/26</c:v>
                </c:pt>
                <c:pt idx="3">
                  <c:v>2029/30</c:v>
                </c:pt>
              </c:strCache>
            </c:strRef>
          </c:cat>
          <c:val>
            <c:numRef>
              <c:f>Sheet1!$H$2:$H$5</c:f>
              <c:numCache>
                <c:formatCode>General</c:formatCode>
                <c:ptCount val="4"/>
              </c:numCache>
            </c:numRef>
          </c:val>
          <c:smooth val="0"/>
          <c:extLst>
            <c:ext xmlns:c16="http://schemas.microsoft.com/office/drawing/2014/chart" uri="{C3380CC4-5D6E-409C-BE32-E72D297353CC}">
              <c16:uniqueId val="{00000006-F89A-46D6-B11E-2D39D6DE19DE}"/>
            </c:ext>
          </c:extLst>
        </c:ser>
        <c:dLbls>
          <c:showLegendKey val="0"/>
          <c:showVal val="0"/>
          <c:showCatName val="0"/>
          <c:showSerName val="0"/>
          <c:showPercent val="0"/>
          <c:showBubbleSize val="0"/>
        </c:dLbls>
        <c:smooth val="0"/>
        <c:axId val="1554296159"/>
        <c:axId val="1554301567"/>
      </c:lineChart>
      <c:catAx>
        <c:axId val="155429615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Timeframe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4301567"/>
        <c:crosses val="autoZero"/>
        <c:auto val="1"/>
        <c:lblAlgn val="ctr"/>
        <c:lblOffset val="100"/>
        <c:noMultiLvlLbl val="0"/>
      </c:catAx>
      <c:valAx>
        <c:axId val="15543015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tCO2e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4296159"/>
        <c:crosses val="autoZero"/>
        <c:crossBetween val="between"/>
      </c:valAx>
      <c:spPr>
        <a:noFill/>
        <a:ln>
          <a:noFill/>
        </a:ln>
        <a:effectLst/>
      </c:spPr>
    </c:plotArea>
    <c:legend>
      <c:legendPos val="b"/>
      <c:layout>
        <c:manualLayout>
          <c:xMode val="edge"/>
          <c:yMode val="edge"/>
          <c:x val="0.12432090047845189"/>
          <c:y val="0.84021423884514435"/>
          <c:w val="0.75135803745853336"/>
          <c:h val="0.134785761154855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orporate Plan SDDC">
      <a:dk1>
        <a:sysClr val="windowText" lastClr="000000"/>
      </a:dk1>
      <a:lt1>
        <a:sysClr val="window" lastClr="FFFFFF"/>
      </a:lt1>
      <a:dk2>
        <a:srgbClr val="2D0054"/>
      </a:dk2>
      <a:lt2>
        <a:srgbClr val="F2F2F2"/>
      </a:lt2>
      <a:accent1>
        <a:srgbClr val="2D0054"/>
      </a:accent1>
      <a:accent2>
        <a:srgbClr val="99CC00"/>
      </a:accent2>
      <a:accent3>
        <a:srgbClr val="00CC00"/>
      </a:accent3>
      <a:accent4>
        <a:srgbClr val="D60093"/>
      </a:accent4>
      <a:accent5>
        <a:srgbClr val="0066CC"/>
      </a:accent5>
      <a:accent6>
        <a:srgbClr val="FF9900"/>
      </a:accent6>
      <a:hlink>
        <a:srgbClr val="0070C0"/>
      </a:hlink>
      <a:folHlink>
        <a:srgbClr val="800080"/>
      </a:folHlink>
    </a:clrScheme>
    <a:fontScheme name="SDDC Corporate">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607A49DE8D6F4398137DD273C492E7" ma:contentTypeVersion="8" ma:contentTypeDescription="Create a new document." ma:contentTypeScope="" ma:versionID="80354035528aa0168bb8930566548608">
  <xsd:schema xmlns:xsd="http://www.w3.org/2001/XMLSchema" xmlns:xs="http://www.w3.org/2001/XMLSchema" xmlns:p="http://schemas.microsoft.com/office/2006/metadata/properties" xmlns:ns2="0b2c9b9d-d4ce-4e07-8505-3689a1f6f8ce" xmlns:ns3="92845a24-6bbc-4858-b121-e1c23c8de249" targetNamespace="http://schemas.microsoft.com/office/2006/metadata/properties" ma:root="true" ma:fieldsID="5896b9daa685ca30f41a2d41d9b6ecc9" ns2:_="" ns3:_="">
    <xsd:import namespace="0b2c9b9d-d4ce-4e07-8505-3689a1f6f8ce"/>
    <xsd:import namespace="92845a24-6bbc-4858-b121-e1c23c8de2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c9b9d-d4ce-4e07-8505-3689a1f6f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45a24-6bbc-4858-b121-e1c23c8de2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01C0C-2225-42D7-8E3B-E3D7571842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2CD26A-E04C-4DB5-B7BC-6BAC9A5BE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c9b9d-d4ce-4e07-8505-3689a1f6f8ce"/>
    <ds:schemaRef ds:uri="92845a24-6bbc-4858-b121-e1c23c8de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7A1CD1-3BD1-4929-B531-B2B7BB221415}">
  <ds:schemaRefs>
    <ds:schemaRef ds:uri="http://schemas.microsoft.com/sharepoint/v3/contenttype/forms"/>
  </ds:schemaRefs>
</ds:datastoreItem>
</file>

<file path=customXml/itemProps4.xml><?xml version="1.0" encoding="utf-8"?>
<ds:datastoreItem xmlns:ds="http://schemas.openxmlformats.org/officeDocument/2006/customXml" ds:itemID="{D00CE173-B0A9-4F20-B2BC-8A2FCF912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Pages>
  <Words>3650</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South Derbyshire District Council</Company>
  <LinksUpToDate>false</LinksUpToDate>
  <CharactersWithSpaces>24407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Rawlins</dc:creator>
  <cp:keywords/>
  <dc:description/>
  <cp:lastModifiedBy>John Kinderman</cp:lastModifiedBy>
  <cp:revision>4</cp:revision>
  <dcterms:created xsi:type="dcterms:W3CDTF">2022-08-19T13:33:00Z</dcterms:created>
  <dcterms:modified xsi:type="dcterms:W3CDTF">2022-08-19T14:45:00Z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0x0101006E607A49DE8D6F4398137DD273C492E7</vt:lpwstr>
  </property>
</Properties>
</file>