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C32A9" w:rsidRDefault="004C32A9">
      <w:bookmarkStart w:id="0" w:name="_Hlk105429539"/>
      <w:bookmarkEnd w:id="0"/>
    </w:p>
    <w:p w14:paraId="0A37501D" w14:textId="77777777" w:rsidR="001030EA" w:rsidRDefault="001030EA"/>
    <w:p w14:paraId="5DAB6C7B" w14:textId="77777777" w:rsidR="0096127F" w:rsidRDefault="0096127F"/>
    <w:p w14:paraId="02EB378F" w14:textId="77777777" w:rsidR="00E45FAA" w:rsidRDefault="00E45FAA"/>
    <w:p w14:paraId="6A05A809" w14:textId="77777777" w:rsidR="00E45FAA" w:rsidRDefault="00E45FAA"/>
    <w:p w14:paraId="5A39BBE3" w14:textId="77777777" w:rsidR="00E45FAA" w:rsidRDefault="00E45FAA"/>
    <w:p w14:paraId="4B02D362" w14:textId="77777777" w:rsidR="00E45FAA" w:rsidRDefault="00E45FAA">
      <w:r>
        <w:rPr>
          <w:noProof/>
          <w:lang w:eastAsia="en-GB"/>
        </w:rPr>
        <mc:AlternateContent>
          <mc:Choice Requires="wps">
            <w:drawing>
              <wp:anchor distT="0" distB="0" distL="114300" distR="114300" simplePos="0" relativeHeight="251659264" behindDoc="0" locked="0" layoutInCell="1" allowOverlap="1" wp14:anchorId="764989F2" wp14:editId="0FB3CAC4">
                <wp:simplePos x="0" y="0"/>
                <wp:positionH relativeFrom="column">
                  <wp:posOffset>-95251</wp:posOffset>
                </wp:positionH>
                <wp:positionV relativeFrom="paragraph">
                  <wp:posOffset>272415</wp:posOffset>
                </wp:positionV>
                <wp:extent cx="6162675" cy="208915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2089150"/>
                        </a:xfrm>
                        <a:prstGeom prst="rect">
                          <a:avLst/>
                        </a:prstGeom>
                        <a:noFill/>
                        <a:ln w="9525">
                          <a:noFill/>
                          <a:miter lim="800000"/>
                          <a:headEnd/>
                          <a:tailEnd/>
                        </a:ln>
                      </wps:spPr>
                      <wps:txbx>
                        <w:txbxContent>
                          <w:p w14:paraId="1A534776" w14:textId="4640C23B" w:rsidR="00E45FAA" w:rsidRDefault="00877061" w:rsidP="00F35483">
                            <w:pPr>
                              <w:jc w:val="center"/>
                              <w:rPr>
                                <w:rFonts w:ascii="Trebuchet MS" w:hAnsi="Trebuchet MS"/>
                                <w:b/>
                                <w:color w:val="2D0054"/>
                                <w:sz w:val="72"/>
                                <w:szCs w:val="72"/>
                              </w:rPr>
                            </w:pPr>
                            <w:r>
                              <w:rPr>
                                <w:rFonts w:ascii="Trebuchet MS" w:hAnsi="Trebuchet MS"/>
                                <w:b/>
                                <w:color w:val="2D0054"/>
                                <w:sz w:val="72"/>
                                <w:szCs w:val="72"/>
                              </w:rPr>
                              <w:t>A</w:t>
                            </w:r>
                            <w:r w:rsidR="00B532A8">
                              <w:rPr>
                                <w:rFonts w:ascii="Trebuchet MS" w:hAnsi="Trebuchet MS"/>
                                <w:b/>
                                <w:color w:val="2D0054"/>
                                <w:sz w:val="72"/>
                                <w:szCs w:val="72"/>
                              </w:rPr>
                              <w:t xml:space="preserve">nnual </w:t>
                            </w:r>
                            <w:r>
                              <w:rPr>
                                <w:rFonts w:ascii="Trebuchet MS" w:hAnsi="Trebuchet MS"/>
                                <w:b/>
                                <w:color w:val="2D0054"/>
                                <w:sz w:val="72"/>
                                <w:szCs w:val="72"/>
                              </w:rPr>
                              <w:t xml:space="preserve">Carbon Report </w:t>
                            </w:r>
                          </w:p>
                          <w:p w14:paraId="41C8F396" w14:textId="4C67897D" w:rsidR="00AC457D" w:rsidRPr="00877061" w:rsidRDefault="00877061" w:rsidP="00877061">
                            <w:pPr>
                              <w:jc w:val="center"/>
                              <w:rPr>
                                <w:rFonts w:ascii="Trebuchet MS" w:hAnsi="Trebuchet MS"/>
                                <w:b/>
                                <w:color w:val="2D0054"/>
                                <w:sz w:val="40"/>
                                <w:szCs w:val="40"/>
                              </w:rPr>
                            </w:pPr>
                            <w:r>
                              <w:rPr>
                                <w:rFonts w:ascii="Trebuchet MS" w:hAnsi="Trebuchet MS"/>
                                <w:b/>
                                <w:color w:val="2D0054"/>
                                <w:sz w:val="40"/>
                                <w:szCs w:val="40"/>
                              </w:rPr>
                              <w:t>(Abridged SDDC website</w:t>
                            </w:r>
                            <w:r w:rsidR="00F418CF">
                              <w:rPr>
                                <w:rFonts w:ascii="Trebuchet MS" w:hAnsi="Trebuchet MS"/>
                                <w:b/>
                                <w:color w:val="2D0054"/>
                                <w:sz w:val="40"/>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4989F2" id="_x0000_t202" coordsize="21600,21600" o:spt="202" path="m,l,21600r21600,l21600,xe">
                <v:stroke joinstyle="miter"/>
                <v:path gradientshapeok="t" o:connecttype="rect"/>
              </v:shapetype>
              <v:shape id="Text Box 2" o:spid="_x0000_s1026" type="#_x0000_t202" style="position:absolute;margin-left:-7.5pt;margin-top:21.45pt;width:485.25pt;height:1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" filled="f" stroked="f">
                <v:textbox>
                  <w:txbxContent>
                    <w:p w14:paraId="1A534776" w14:textId="4640C23B" w:rsidR="00E45FAA" w:rsidRDefault="00877061" w:rsidP="00F35483">
                      <w:pPr>
                        <w:jc w:val="center"/>
                        <w:rPr>
                          <w:rFonts w:ascii="Trebuchet MS" w:hAnsi="Trebuchet MS"/>
                          <w:b/>
                          <w:color w:val="2D0054"/>
                          <w:sz w:val="72"/>
                          <w:szCs w:val="72"/>
                        </w:rPr>
                      </w:pPr>
                      <w:r>
                        <w:rPr>
                          <w:rFonts w:ascii="Trebuchet MS" w:hAnsi="Trebuchet MS"/>
                          <w:b/>
                          <w:color w:val="2D0054"/>
                          <w:sz w:val="72"/>
                          <w:szCs w:val="72"/>
                        </w:rPr>
                        <w:t>A</w:t>
                      </w:r>
                      <w:r w:rsidR="00B532A8">
                        <w:rPr>
                          <w:rFonts w:ascii="Trebuchet MS" w:hAnsi="Trebuchet MS"/>
                          <w:b/>
                          <w:color w:val="2D0054"/>
                          <w:sz w:val="72"/>
                          <w:szCs w:val="72"/>
                        </w:rPr>
                        <w:t xml:space="preserve">nnual </w:t>
                      </w:r>
                      <w:r>
                        <w:rPr>
                          <w:rFonts w:ascii="Trebuchet MS" w:hAnsi="Trebuchet MS"/>
                          <w:b/>
                          <w:color w:val="2D0054"/>
                          <w:sz w:val="72"/>
                          <w:szCs w:val="72"/>
                        </w:rPr>
                        <w:t xml:space="preserve">Carbon Report </w:t>
                      </w:r>
                    </w:p>
                    <w:p w14:paraId="41C8F396" w14:textId="4C67897D" w:rsidR="00AC457D" w:rsidRPr="00877061" w:rsidRDefault="00877061" w:rsidP="00877061">
                      <w:pPr>
                        <w:jc w:val="center"/>
                        <w:rPr>
                          <w:rFonts w:ascii="Trebuchet MS" w:hAnsi="Trebuchet MS"/>
                          <w:b/>
                          <w:color w:val="2D0054"/>
                          <w:sz w:val="40"/>
                          <w:szCs w:val="40"/>
                        </w:rPr>
                      </w:pPr>
                      <w:r>
                        <w:rPr>
                          <w:rFonts w:ascii="Trebuchet MS" w:hAnsi="Trebuchet MS"/>
                          <w:b/>
                          <w:color w:val="2D0054"/>
                          <w:sz w:val="40"/>
                          <w:szCs w:val="40"/>
                        </w:rPr>
                        <w:t>(Abridged SDDC website</w:t>
                      </w:r>
                      <w:r w:rsidR="00F418CF">
                        <w:rPr>
                          <w:rFonts w:ascii="Trebuchet MS" w:hAnsi="Trebuchet MS"/>
                          <w:b/>
                          <w:color w:val="2D0054"/>
                          <w:sz w:val="40"/>
                          <w:szCs w:val="40"/>
                        </w:rPr>
                        <w:t>)</w:t>
                      </w:r>
                    </w:p>
                  </w:txbxContent>
                </v:textbox>
              </v:shape>
            </w:pict>
          </mc:Fallback>
        </mc:AlternateContent>
      </w:r>
    </w:p>
    <w:p w14:paraId="0D0B940D" w14:textId="77777777" w:rsidR="00E45FAA" w:rsidRDefault="00E45FAA"/>
    <w:p w14:paraId="0E27B00A" w14:textId="77777777" w:rsidR="00E45FAA" w:rsidRDefault="00E45FAA"/>
    <w:p w14:paraId="60061E4C" w14:textId="77777777" w:rsidR="00E45FAA" w:rsidRDefault="00E45FAA"/>
    <w:p w14:paraId="44EAFD9C" w14:textId="77777777" w:rsidR="00E45FAA" w:rsidRDefault="00E45FAA"/>
    <w:p w14:paraId="4B94D5A5" w14:textId="77777777" w:rsidR="00E45FAA" w:rsidRDefault="00E45FAA"/>
    <w:p w14:paraId="3DEEC669" w14:textId="77777777" w:rsidR="00E45FAA" w:rsidRDefault="00E45FAA"/>
    <w:p w14:paraId="3656B9AB" w14:textId="77777777" w:rsidR="00E45FAA" w:rsidRDefault="00E45FAA"/>
    <w:p w14:paraId="45FB0818" w14:textId="77777777" w:rsidR="00E45FAA" w:rsidRDefault="00E45FAA"/>
    <w:p w14:paraId="049F31CB" w14:textId="77777777" w:rsidR="00E45FAA" w:rsidRDefault="00E45FAA"/>
    <w:p w14:paraId="53128261" w14:textId="77777777" w:rsidR="00E45FAA" w:rsidRDefault="00E45FAA"/>
    <w:p w14:paraId="62486C05" w14:textId="77777777" w:rsidR="00E45FAA" w:rsidRDefault="00E45FAA"/>
    <w:p w14:paraId="4101652C" w14:textId="77777777" w:rsidR="00E45FAA" w:rsidRDefault="00E45FAA"/>
    <w:p w14:paraId="4B99056E" w14:textId="77777777" w:rsidR="00E45FAA" w:rsidRDefault="00E45FAA"/>
    <w:p w14:paraId="1299C43A" w14:textId="77777777" w:rsidR="00E45FAA" w:rsidRDefault="00E45FAA"/>
    <w:p w14:paraId="4DDBEF00" w14:textId="77777777" w:rsidR="00E45FAA" w:rsidRDefault="00E45FAA"/>
    <w:p w14:paraId="3461D779" w14:textId="77777777" w:rsidR="00E45FAA" w:rsidRDefault="00E45FAA"/>
    <w:p w14:paraId="5757798D" w14:textId="3E440808" w:rsidR="00E45FAA" w:rsidRDefault="00F35483">
      <w:r>
        <w:rPr>
          <w:noProof/>
          <w:lang w:eastAsia="en-GB"/>
        </w:rPr>
        <mc:AlternateContent>
          <mc:Choice Requires="wps">
            <w:drawing>
              <wp:anchor distT="0" distB="0" distL="114300" distR="114300" simplePos="0" relativeHeight="251661312" behindDoc="0" locked="0" layoutInCell="1" allowOverlap="1" wp14:anchorId="3A2856CF" wp14:editId="0FC8842F">
                <wp:simplePos x="0" y="0"/>
                <wp:positionH relativeFrom="margin">
                  <wp:posOffset>-127000</wp:posOffset>
                </wp:positionH>
                <wp:positionV relativeFrom="paragraph">
                  <wp:posOffset>316865</wp:posOffset>
                </wp:positionV>
                <wp:extent cx="6540500" cy="162877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1628775"/>
                        </a:xfrm>
                        <a:prstGeom prst="rect">
                          <a:avLst/>
                        </a:prstGeom>
                        <a:noFill/>
                        <a:ln w="9525">
                          <a:noFill/>
                          <a:miter lim="800000"/>
                          <a:headEnd/>
                          <a:tailEnd/>
                        </a:ln>
                      </wps:spPr>
                      <wps:txbx>
                        <w:txbxContent>
                          <w:p w14:paraId="5E52AF9C" w14:textId="29030CF6" w:rsidR="00AD4677" w:rsidRDefault="00AD4677" w:rsidP="00AD4677">
                            <w:pPr>
                              <w:rPr>
                                <w:rFonts w:ascii="Trebuchet MS" w:hAnsi="Trebuchet MS"/>
                                <w:b/>
                                <w:color w:val="2D0054"/>
                                <w:sz w:val="40"/>
                                <w:szCs w:val="72"/>
                              </w:rPr>
                            </w:pPr>
                            <w:r>
                              <w:rPr>
                                <w:rFonts w:ascii="Trebuchet MS" w:hAnsi="Trebuchet MS"/>
                                <w:b/>
                                <w:color w:val="2D0054"/>
                                <w:sz w:val="40"/>
                                <w:szCs w:val="72"/>
                              </w:rPr>
                              <w:t>Project:</w:t>
                            </w:r>
                            <w:r w:rsidRPr="00AD4677">
                              <w:rPr>
                                <w:rFonts w:ascii="Trebuchet MS" w:hAnsi="Trebuchet MS"/>
                                <w:b/>
                                <w:color w:val="2D0054"/>
                                <w:sz w:val="40"/>
                                <w:szCs w:val="72"/>
                              </w:rPr>
                              <w:t xml:space="preserve"> </w:t>
                            </w:r>
                            <w:r w:rsidR="00F35483">
                              <w:rPr>
                                <w:rFonts w:ascii="Trebuchet MS" w:hAnsi="Trebuchet MS"/>
                                <w:color w:val="2D0054"/>
                                <w:sz w:val="40"/>
                                <w:szCs w:val="72"/>
                              </w:rPr>
                              <w:t>Climate and Environment Action Plan 2021-30</w:t>
                            </w:r>
                          </w:p>
                          <w:p w14:paraId="2968F2C7" w14:textId="1FBEF9DB" w:rsidR="00E45FAA" w:rsidRPr="00F35483" w:rsidRDefault="00E45FAA" w:rsidP="00E45FAA">
                            <w:pPr>
                              <w:rPr>
                                <w:rFonts w:ascii="Trebuchet MS" w:hAnsi="Trebuchet MS"/>
                                <w:bCs/>
                                <w:color w:val="2D0054"/>
                                <w:sz w:val="40"/>
                                <w:szCs w:val="72"/>
                              </w:rPr>
                            </w:pPr>
                            <w:r w:rsidRPr="00E45FAA">
                              <w:rPr>
                                <w:rFonts w:ascii="Trebuchet MS" w:hAnsi="Trebuchet MS"/>
                                <w:b/>
                                <w:color w:val="2D0054"/>
                                <w:sz w:val="40"/>
                                <w:szCs w:val="72"/>
                              </w:rPr>
                              <w:t>Team</w:t>
                            </w:r>
                            <w:r w:rsidR="00AC457D">
                              <w:rPr>
                                <w:rFonts w:ascii="Trebuchet MS" w:hAnsi="Trebuchet MS"/>
                                <w:b/>
                                <w:color w:val="2D0054"/>
                                <w:sz w:val="40"/>
                                <w:szCs w:val="72"/>
                              </w:rPr>
                              <w:t>:</w:t>
                            </w:r>
                            <w:r w:rsidR="001977A1">
                              <w:rPr>
                                <w:rFonts w:ascii="Trebuchet MS" w:hAnsi="Trebuchet MS"/>
                                <w:b/>
                                <w:color w:val="2D0054"/>
                                <w:sz w:val="40"/>
                                <w:szCs w:val="72"/>
                              </w:rPr>
                              <w:t xml:space="preserve"> </w:t>
                            </w:r>
                            <w:r w:rsidR="00F35483">
                              <w:rPr>
                                <w:rFonts w:ascii="Trebuchet MS" w:hAnsi="Trebuchet MS"/>
                                <w:bCs/>
                                <w:color w:val="2D0054"/>
                                <w:sz w:val="40"/>
                                <w:szCs w:val="72"/>
                              </w:rPr>
                              <w:t xml:space="preserve">Environmental Services </w:t>
                            </w:r>
                          </w:p>
                          <w:p w14:paraId="423D4639" w14:textId="039FDD3D" w:rsidR="00E45FAA" w:rsidRPr="00F35483" w:rsidRDefault="00E45FAA" w:rsidP="00E45FAA">
                            <w:pPr>
                              <w:rPr>
                                <w:rFonts w:ascii="Trebuchet MS" w:hAnsi="Trebuchet MS"/>
                                <w:bCs/>
                                <w:color w:val="2D0054"/>
                                <w:sz w:val="40"/>
                                <w:szCs w:val="72"/>
                              </w:rPr>
                            </w:pPr>
                            <w:r>
                              <w:rPr>
                                <w:rFonts w:ascii="Trebuchet MS" w:hAnsi="Trebuchet MS"/>
                                <w:b/>
                                <w:color w:val="2D0054"/>
                                <w:sz w:val="40"/>
                                <w:szCs w:val="72"/>
                              </w:rPr>
                              <w:t>Date</w:t>
                            </w:r>
                            <w:r w:rsidR="00AC457D">
                              <w:rPr>
                                <w:rFonts w:ascii="Trebuchet MS" w:hAnsi="Trebuchet MS"/>
                                <w:b/>
                                <w:color w:val="2D0054"/>
                                <w:sz w:val="40"/>
                                <w:szCs w:val="72"/>
                              </w:rPr>
                              <w:t>:</w:t>
                            </w:r>
                            <w:r w:rsidR="00F35483">
                              <w:rPr>
                                <w:rFonts w:ascii="Trebuchet MS" w:hAnsi="Trebuchet MS"/>
                                <w:b/>
                                <w:color w:val="2D0054"/>
                                <w:sz w:val="40"/>
                                <w:szCs w:val="72"/>
                              </w:rPr>
                              <w:t xml:space="preserve"> </w:t>
                            </w:r>
                            <w:r w:rsidR="00F35483">
                              <w:rPr>
                                <w:rFonts w:ascii="Trebuchet MS" w:hAnsi="Trebuchet MS"/>
                                <w:bCs/>
                                <w:color w:val="2D0054"/>
                                <w:sz w:val="40"/>
                                <w:szCs w:val="72"/>
                              </w:rPr>
                              <w:t>Ju</w:t>
                            </w:r>
                            <w:r w:rsidR="00012B00">
                              <w:rPr>
                                <w:rFonts w:ascii="Trebuchet MS" w:hAnsi="Trebuchet MS"/>
                                <w:bCs/>
                                <w:color w:val="2D0054"/>
                                <w:sz w:val="40"/>
                                <w:szCs w:val="72"/>
                              </w:rPr>
                              <w:t>ly</w:t>
                            </w:r>
                            <w:r w:rsidR="00F35483">
                              <w:rPr>
                                <w:rFonts w:ascii="Trebuchet MS" w:hAnsi="Trebuchet MS"/>
                                <w:bCs/>
                                <w:color w:val="2D0054"/>
                                <w:sz w:val="40"/>
                                <w:szCs w:val="72"/>
                              </w:rPr>
                              <w:t xml:space="preserve">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2856CF" id="_x0000_t202" coordsize="21600,21600" o:spt="202" path="m,l,21600r21600,l21600,xe">
                <v:stroke joinstyle="miter"/>
                <v:path gradientshapeok="t" o:connecttype="rect"/>
              </v:shapetype>
              <v:shape id="_x0000_s1027" type="#_x0000_t202" style="position:absolute;margin-left:-10pt;margin-top:24.95pt;width:515pt;height:12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" filled="f" stroked="f">
                <v:textbox>
                  <w:txbxContent>
                    <w:p w14:paraId="5E52AF9C" w14:textId="29030CF6" w:rsidR="00AD4677" w:rsidRDefault="00AD4677" w:rsidP="00AD4677">
                      <w:pPr>
                        <w:rPr>
                          <w:rFonts w:ascii="Trebuchet MS" w:hAnsi="Trebuchet MS"/>
                          <w:b/>
                          <w:color w:val="2D0054"/>
                          <w:sz w:val="40"/>
                          <w:szCs w:val="72"/>
                        </w:rPr>
                      </w:pPr>
                      <w:r>
                        <w:rPr>
                          <w:rFonts w:ascii="Trebuchet MS" w:hAnsi="Trebuchet MS"/>
                          <w:b/>
                          <w:color w:val="2D0054"/>
                          <w:sz w:val="40"/>
                          <w:szCs w:val="72"/>
                        </w:rPr>
                        <w:t>Project:</w:t>
                      </w:r>
                      <w:r w:rsidRPr="00AD4677">
                        <w:rPr>
                          <w:rFonts w:ascii="Trebuchet MS" w:hAnsi="Trebuchet MS"/>
                          <w:b/>
                          <w:color w:val="2D0054"/>
                          <w:sz w:val="40"/>
                          <w:szCs w:val="72"/>
                        </w:rPr>
                        <w:t xml:space="preserve"> </w:t>
                      </w:r>
                      <w:r w:rsidR="00F35483">
                        <w:rPr>
                          <w:rFonts w:ascii="Trebuchet MS" w:hAnsi="Trebuchet MS"/>
                          <w:color w:val="2D0054"/>
                          <w:sz w:val="40"/>
                          <w:szCs w:val="72"/>
                        </w:rPr>
                        <w:t>Climate and Environment Action Plan 2021-30</w:t>
                      </w:r>
                    </w:p>
                    <w:p w14:paraId="2968F2C7" w14:textId="1FBEF9DB" w:rsidR="00E45FAA" w:rsidRPr="00F35483" w:rsidRDefault="00E45FAA" w:rsidP="00E45FAA">
                      <w:pPr>
                        <w:rPr>
                          <w:rFonts w:ascii="Trebuchet MS" w:hAnsi="Trebuchet MS"/>
                          <w:bCs/>
                          <w:color w:val="2D0054"/>
                          <w:sz w:val="40"/>
                          <w:szCs w:val="72"/>
                        </w:rPr>
                      </w:pPr>
                      <w:r w:rsidRPr="00E45FAA">
                        <w:rPr>
                          <w:rFonts w:ascii="Trebuchet MS" w:hAnsi="Trebuchet MS"/>
                          <w:b/>
                          <w:color w:val="2D0054"/>
                          <w:sz w:val="40"/>
                          <w:szCs w:val="72"/>
                        </w:rPr>
                        <w:t>Team</w:t>
                      </w:r>
                      <w:r w:rsidR="00AC457D">
                        <w:rPr>
                          <w:rFonts w:ascii="Trebuchet MS" w:hAnsi="Trebuchet MS"/>
                          <w:b/>
                          <w:color w:val="2D0054"/>
                          <w:sz w:val="40"/>
                          <w:szCs w:val="72"/>
                        </w:rPr>
                        <w:t>:</w:t>
                      </w:r>
                      <w:r w:rsidR="001977A1">
                        <w:rPr>
                          <w:rFonts w:ascii="Trebuchet MS" w:hAnsi="Trebuchet MS"/>
                          <w:b/>
                          <w:color w:val="2D0054"/>
                          <w:sz w:val="40"/>
                          <w:szCs w:val="72"/>
                        </w:rPr>
                        <w:t xml:space="preserve"> </w:t>
                      </w:r>
                      <w:r w:rsidR="00F35483">
                        <w:rPr>
                          <w:rFonts w:ascii="Trebuchet MS" w:hAnsi="Trebuchet MS"/>
                          <w:bCs/>
                          <w:color w:val="2D0054"/>
                          <w:sz w:val="40"/>
                          <w:szCs w:val="72"/>
                        </w:rPr>
                        <w:t xml:space="preserve">Environmental Services </w:t>
                      </w:r>
                    </w:p>
                    <w:p w14:paraId="423D4639" w14:textId="039FDD3D" w:rsidR="00E45FAA" w:rsidRPr="00F35483" w:rsidRDefault="00E45FAA" w:rsidP="00E45FAA">
                      <w:pPr>
                        <w:rPr>
                          <w:rFonts w:ascii="Trebuchet MS" w:hAnsi="Trebuchet MS"/>
                          <w:bCs/>
                          <w:color w:val="2D0054"/>
                          <w:sz w:val="40"/>
                          <w:szCs w:val="72"/>
                        </w:rPr>
                      </w:pPr>
                      <w:r>
                        <w:rPr>
                          <w:rFonts w:ascii="Trebuchet MS" w:hAnsi="Trebuchet MS"/>
                          <w:b/>
                          <w:color w:val="2D0054"/>
                          <w:sz w:val="40"/>
                          <w:szCs w:val="72"/>
                        </w:rPr>
                        <w:t>Date</w:t>
                      </w:r>
                      <w:r w:rsidR="00AC457D">
                        <w:rPr>
                          <w:rFonts w:ascii="Trebuchet MS" w:hAnsi="Trebuchet MS"/>
                          <w:b/>
                          <w:color w:val="2D0054"/>
                          <w:sz w:val="40"/>
                          <w:szCs w:val="72"/>
                        </w:rPr>
                        <w:t>:</w:t>
                      </w:r>
                      <w:r w:rsidR="00F35483">
                        <w:rPr>
                          <w:rFonts w:ascii="Trebuchet MS" w:hAnsi="Trebuchet MS"/>
                          <w:b/>
                          <w:color w:val="2D0054"/>
                          <w:sz w:val="40"/>
                          <w:szCs w:val="72"/>
                        </w:rPr>
                        <w:t xml:space="preserve"> </w:t>
                      </w:r>
                      <w:r w:rsidR="00F35483">
                        <w:rPr>
                          <w:rFonts w:ascii="Trebuchet MS" w:hAnsi="Trebuchet MS"/>
                          <w:bCs/>
                          <w:color w:val="2D0054"/>
                          <w:sz w:val="40"/>
                          <w:szCs w:val="72"/>
                        </w:rPr>
                        <w:t>Ju</w:t>
                      </w:r>
                      <w:r w:rsidR="00012B00">
                        <w:rPr>
                          <w:rFonts w:ascii="Trebuchet MS" w:hAnsi="Trebuchet MS"/>
                          <w:bCs/>
                          <w:color w:val="2D0054"/>
                          <w:sz w:val="40"/>
                          <w:szCs w:val="72"/>
                        </w:rPr>
                        <w:t>ly</w:t>
                      </w:r>
                      <w:r w:rsidR="00F35483">
                        <w:rPr>
                          <w:rFonts w:ascii="Trebuchet MS" w:hAnsi="Trebuchet MS"/>
                          <w:bCs/>
                          <w:color w:val="2D0054"/>
                          <w:sz w:val="40"/>
                          <w:szCs w:val="72"/>
                        </w:rPr>
                        <w:t xml:space="preserve"> 2022</w:t>
                      </w:r>
                    </w:p>
                  </w:txbxContent>
                </v:textbox>
                <w10:wrap anchorx="margin"/>
              </v:shape>
            </w:pict>
          </mc:Fallback>
        </mc:AlternateContent>
      </w:r>
    </w:p>
    <w:p w14:paraId="3CF2D8B6" w14:textId="7E2F5573" w:rsidR="00E45FAA" w:rsidRDefault="00E45FAA"/>
    <w:p w14:paraId="0FB78278" w14:textId="7FDC3757" w:rsidR="00E45FAA" w:rsidRDefault="00E45FAA"/>
    <w:p w14:paraId="1FC39945" w14:textId="34BA419A" w:rsidR="00E45FAA" w:rsidRDefault="00E45FAA"/>
    <w:sdt>
      <w:sdtPr>
        <w:rPr>
          <w:rFonts w:asciiTheme="minorHAnsi" w:eastAsiaTheme="minorHAnsi" w:hAnsiTheme="minorHAnsi" w:cstheme="minorBidi"/>
          <w:b w:val="0"/>
          <w:bCs w:val="0"/>
          <w:color w:val="auto"/>
          <w:sz w:val="22"/>
          <w:szCs w:val="22"/>
          <w:lang w:val="en-GB" w:eastAsia="en-US"/>
        </w:rPr>
        <w:id w:val="1035314965"/>
        <w:docPartObj>
          <w:docPartGallery w:val="Table of Contents"/>
          <w:docPartUnique/>
        </w:docPartObj>
      </w:sdtPr>
      <w:sdtEndPr>
        <w:rPr>
          <w:noProof/>
        </w:rPr>
      </w:sdtEndPr>
      <w:sdtContent>
        <w:p w14:paraId="406425CA" w14:textId="77777777" w:rsidR="00876DB0" w:rsidRDefault="00876DB0">
          <w:pPr>
            <w:pStyle w:val="TOCHeading"/>
          </w:pPr>
          <w:r>
            <w:t>Contents</w:t>
          </w:r>
        </w:p>
        <w:p w14:paraId="1222AD93" w14:textId="664CA211" w:rsidR="0005129C" w:rsidRDefault="00876DB0">
          <w:pPr>
            <w:pStyle w:val="TOC1"/>
            <w:rPr>
              <w:rFonts w:eastAsiaTheme="minorEastAsia"/>
              <w:noProof/>
              <w:lang w:eastAsia="en-GB"/>
            </w:rPr>
          </w:pPr>
          <w:r>
            <w:fldChar w:fldCharType="begin"/>
          </w:r>
          <w:r>
            <w:instrText xml:space="preserve"> TOC \o "1-3" \h \z \u </w:instrText>
          </w:r>
          <w:r>
            <w:fldChar w:fldCharType="separate"/>
          </w:r>
          <w:hyperlink w:anchor="_Toc105427804" w:history="1">
            <w:r w:rsidR="0005129C" w:rsidRPr="00D24C31">
              <w:rPr>
                <w:rStyle w:val="Hyperlink"/>
                <w:noProof/>
              </w:rPr>
              <w:t>Version Control</w:t>
            </w:r>
            <w:r w:rsidR="0005129C">
              <w:rPr>
                <w:noProof/>
                <w:webHidden/>
              </w:rPr>
              <w:tab/>
            </w:r>
            <w:r w:rsidR="0005129C">
              <w:rPr>
                <w:noProof/>
                <w:webHidden/>
              </w:rPr>
              <w:fldChar w:fldCharType="begin"/>
            </w:r>
            <w:r w:rsidR="0005129C">
              <w:rPr>
                <w:noProof/>
                <w:webHidden/>
              </w:rPr>
              <w:instrText xml:space="preserve"> PAGEREF _Toc105427804 \h </w:instrText>
            </w:r>
            <w:r w:rsidR="0005129C">
              <w:rPr>
                <w:noProof/>
                <w:webHidden/>
              </w:rPr>
            </w:r>
            <w:r w:rsidR="0005129C">
              <w:rPr>
                <w:noProof/>
                <w:webHidden/>
              </w:rPr>
              <w:fldChar w:fldCharType="separate"/>
            </w:r>
            <w:r w:rsidR="0005129C">
              <w:rPr>
                <w:noProof/>
                <w:webHidden/>
              </w:rPr>
              <w:t>2</w:t>
            </w:r>
            <w:r w:rsidR="0005129C">
              <w:rPr>
                <w:noProof/>
                <w:webHidden/>
              </w:rPr>
              <w:fldChar w:fldCharType="end"/>
            </w:r>
          </w:hyperlink>
        </w:p>
        <w:p w14:paraId="576991B4" w14:textId="776CB89B" w:rsidR="0005129C" w:rsidRDefault="00F418CF">
          <w:pPr>
            <w:pStyle w:val="TOC1"/>
            <w:rPr>
              <w:rFonts w:eastAsiaTheme="minorEastAsia"/>
              <w:noProof/>
              <w:lang w:eastAsia="en-GB"/>
            </w:rPr>
          </w:pPr>
          <w:hyperlink w:anchor="_Toc105427805" w:history="1">
            <w:r w:rsidR="0005129C" w:rsidRPr="00D24C31">
              <w:rPr>
                <w:rStyle w:val="Hyperlink"/>
                <w:noProof/>
              </w:rPr>
              <w:t>Approvals</w:t>
            </w:r>
            <w:r w:rsidR="0005129C">
              <w:rPr>
                <w:noProof/>
                <w:webHidden/>
              </w:rPr>
              <w:tab/>
            </w:r>
            <w:r w:rsidR="0005129C">
              <w:rPr>
                <w:noProof/>
                <w:webHidden/>
              </w:rPr>
              <w:fldChar w:fldCharType="begin"/>
            </w:r>
            <w:r w:rsidR="0005129C">
              <w:rPr>
                <w:noProof/>
                <w:webHidden/>
              </w:rPr>
              <w:instrText xml:space="preserve"> PAGEREF _Toc105427805 \h </w:instrText>
            </w:r>
            <w:r w:rsidR="0005129C">
              <w:rPr>
                <w:noProof/>
                <w:webHidden/>
              </w:rPr>
            </w:r>
            <w:r w:rsidR="0005129C">
              <w:rPr>
                <w:noProof/>
                <w:webHidden/>
              </w:rPr>
              <w:fldChar w:fldCharType="separate"/>
            </w:r>
            <w:r w:rsidR="0005129C">
              <w:rPr>
                <w:noProof/>
                <w:webHidden/>
              </w:rPr>
              <w:t>2</w:t>
            </w:r>
            <w:r w:rsidR="0005129C">
              <w:rPr>
                <w:noProof/>
                <w:webHidden/>
              </w:rPr>
              <w:fldChar w:fldCharType="end"/>
            </w:r>
          </w:hyperlink>
        </w:p>
        <w:p w14:paraId="0807942A" w14:textId="3834B568" w:rsidR="0005129C" w:rsidRDefault="00F418CF">
          <w:pPr>
            <w:pStyle w:val="TOC1"/>
            <w:rPr>
              <w:rFonts w:eastAsiaTheme="minorEastAsia"/>
              <w:noProof/>
              <w:lang w:eastAsia="en-GB"/>
            </w:rPr>
          </w:pPr>
          <w:hyperlink w:anchor="_Toc105427806" w:history="1">
            <w:r w:rsidR="0005129C" w:rsidRPr="00D24C31">
              <w:rPr>
                <w:rStyle w:val="Hyperlink"/>
                <w:noProof/>
              </w:rPr>
              <w:t>Associated Documentation</w:t>
            </w:r>
            <w:r w:rsidR="0005129C">
              <w:rPr>
                <w:noProof/>
                <w:webHidden/>
              </w:rPr>
              <w:tab/>
            </w:r>
            <w:r w:rsidR="0005129C">
              <w:rPr>
                <w:noProof/>
                <w:webHidden/>
              </w:rPr>
              <w:fldChar w:fldCharType="begin"/>
            </w:r>
            <w:r w:rsidR="0005129C">
              <w:rPr>
                <w:noProof/>
                <w:webHidden/>
              </w:rPr>
              <w:instrText xml:space="preserve"> PAGEREF _Toc105427806 \h </w:instrText>
            </w:r>
            <w:r w:rsidR="0005129C">
              <w:rPr>
                <w:noProof/>
                <w:webHidden/>
              </w:rPr>
            </w:r>
            <w:r w:rsidR="0005129C">
              <w:rPr>
                <w:noProof/>
                <w:webHidden/>
              </w:rPr>
              <w:fldChar w:fldCharType="separate"/>
            </w:r>
            <w:r w:rsidR="0005129C">
              <w:rPr>
                <w:noProof/>
                <w:webHidden/>
              </w:rPr>
              <w:t>2</w:t>
            </w:r>
            <w:r w:rsidR="0005129C">
              <w:rPr>
                <w:noProof/>
                <w:webHidden/>
              </w:rPr>
              <w:fldChar w:fldCharType="end"/>
            </w:r>
          </w:hyperlink>
        </w:p>
        <w:p w14:paraId="25CBC6B5" w14:textId="513EB379" w:rsidR="0005129C" w:rsidRDefault="00F418CF">
          <w:pPr>
            <w:pStyle w:val="TOC1"/>
            <w:rPr>
              <w:rFonts w:eastAsiaTheme="minorEastAsia"/>
              <w:noProof/>
              <w:lang w:eastAsia="en-GB"/>
            </w:rPr>
          </w:pPr>
          <w:hyperlink w:anchor="_Toc105427807" w:history="1">
            <w:r w:rsidR="0005129C" w:rsidRPr="00D24C31">
              <w:rPr>
                <w:rStyle w:val="Hyperlink"/>
                <w:noProof/>
              </w:rPr>
              <w:t>Executive Summary.</w:t>
            </w:r>
            <w:r w:rsidR="0005129C">
              <w:rPr>
                <w:noProof/>
                <w:webHidden/>
              </w:rPr>
              <w:tab/>
            </w:r>
            <w:r w:rsidR="0005129C">
              <w:rPr>
                <w:noProof/>
                <w:webHidden/>
              </w:rPr>
              <w:fldChar w:fldCharType="begin"/>
            </w:r>
            <w:r w:rsidR="0005129C">
              <w:rPr>
                <w:noProof/>
                <w:webHidden/>
              </w:rPr>
              <w:instrText xml:space="preserve"> PAGEREF _Toc105427807 \h </w:instrText>
            </w:r>
            <w:r w:rsidR="0005129C">
              <w:rPr>
                <w:noProof/>
                <w:webHidden/>
              </w:rPr>
            </w:r>
            <w:r w:rsidR="0005129C">
              <w:rPr>
                <w:noProof/>
                <w:webHidden/>
              </w:rPr>
              <w:fldChar w:fldCharType="separate"/>
            </w:r>
            <w:r w:rsidR="0005129C">
              <w:rPr>
                <w:noProof/>
                <w:webHidden/>
              </w:rPr>
              <w:t>3</w:t>
            </w:r>
            <w:r w:rsidR="0005129C">
              <w:rPr>
                <w:noProof/>
                <w:webHidden/>
              </w:rPr>
              <w:fldChar w:fldCharType="end"/>
            </w:r>
          </w:hyperlink>
        </w:p>
        <w:p w14:paraId="1592D11E" w14:textId="05910035" w:rsidR="0005129C" w:rsidRDefault="00F418CF">
          <w:pPr>
            <w:pStyle w:val="TOC1"/>
            <w:rPr>
              <w:rFonts w:eastAsiaTheme="minorEastAsia"/>
              <w:noProof/>
              <w:lang w:eastAsia="en-GB"/>
            </w:rPr>
          </w:pPr>
          <w:hyperlink w:anchor="_Toc105427808" w:history="1">
            <w:r w:rsidR="0005129C" w:rsidRPr="00D24C31">
              <w:rPr>
                <w:rStyle w:val="Hyperlink"/>
                <w:noProof/>
              </w:rPr>
              <w:t>1.</w:t>
            </w:r>
            <w:r w:rsidR="0005129C">
              <w:rPr>
                <w:rFonts w:eastAsiaTheme="minorEastAsia"/>
                <w:noProof/>
                <w:lang w:eastAsia="en-GB"/>
              </w:rPr>
              <w:tab/>
            </w:r>
            <w:r w:rsidR="0005129C" w:rsidRPr="00D24C31">
              <w:rPr>
                <w:rStyle w:val="Hyperlink"/>
                <w:noProof/>
              </w:rPr>
              <w:t>Context</w:t>
            </w:r>
            <w:r w:rsidR="0005129C">
              <w:rPr>
                <w:noProof/>
                <w:webHidden/>
              </w:rPr>
              <w:tab/>
            </w:r>
            <w:r w:rsidR="0005129C">
              <w:rPr>
                <w:noProof/>
                <w:webHidden/>
              </w:rPr>
              <w:fldChar w:fldCharType="begin"/>
            </w:r>
            <w:r w:rsidR="0005129C">
              <w:rPr>
                <w:noProof/>
                <w:webHidden/>
              </w:rPr>
              <w:instrText xml:space="preserve"> PAGEREF _Toc105427808 \h </w:instrText>
            </w:r>
            <w:r w:rsidR="0005129C">
              <w:rPr>
                <w:noProof/>
                <w:webHidden/>
              </w:rPr>
            </w:r>
            <w:r w:rsidR="0005129C">
              <w:rPr>
                <w:noProof/>
                <w:webHidden/>
              </w:rPr>
              <w:fldChar w:fldCharType="separate"/>
            </w:r>
            <w:r w:rsidR="0005129C">
              <w:rPr>
                <w:noProof/>
                <w:webHidden/>
              </w:rPr>
              <w:t>3</w:t>
            </w:r>
            <w:r w:rsidR="0005129C">
              <w:rPr>
                <w:noProof/>
                <w:webHidden/>
              </w:rPr>
              <w:fldChar w:fldCharType="end"/>
            </w:r>
          </w:hyperlink>
        </w:p>
        <w:p w14:paraId="3C6D2AB0" w14:textId="54681891" w:rsidR="0005129C" w:rsidRDefault="00F418CF">
          <w:pPr>
            <w:pStyle w:val="TOC1"/>
            <w:rPr>
              <w:rFonts w:eastAsiaTheme="minorEastAsia"/>
              <w:noProof/>
              <w:lang w:eastAsia="en-GB"/>
            </w:rPr>
          </w:pPr>
          <w:hyperlink w:anchor="_Toc105427809" w:history="1">
            <w:r w:rsidR="0005129C" w:rsidRPr="00D24C31">
              <w:rPr>
                <w:rStyle w:val="Hyperlink"/>
                <w:noProof/>
              </w:rPr>
              <w:t>2.</w:t>
            </w:r>
            <w:r w:rsidR="0005129C">
              <w:rPr>
                <w:rFonts w:eastAsiaTheme="minorEastAsia"/>
                <w:noProof/>
                <w:lang w:eastAsia="en-GB"/>
              </w:rPr>
              <w:tab/>
            </w:r>
            <w:r w:rsidR="0005129C" w:rsidRPr="00D24C31">
              <w:rPr>
                <w:rStyle w:val="Hyperlink"/>
                <w:noProof/>
              </w:rPr>
              <w:t>Introduction</w:t>
            </w:r>
            <w:r w:rsidR="0005129C">
              <w:rPr>
                <w:noProof/>
                <w:webHidden/>
              </w:rPr>
              <w:tab/>
            </w:r>
            <w:r w:rsidR="0005129C">
              <w:rPr>
                <w:noProof/>
                <w:webHidden/>
              </w:rPr>
              <w:fldChar w:fldCharType="begin"/>
            </w:r>
            <w:r w:rsidR="0005129C">
              <w:rPr>
                <w:noProof/>
                <w:webHidden/>
              </w:rPr>
              <w:instrText xml:space="preserve"> PAGEREF _Toc105427809 \h </w:instrText>
            </w:r>
            <w:r w:rsidR="0005129C">
              <w:rPr>
                <w:noProof/>
                <w:webHidden/>
              </w:rPr>
            </w:r>
            <w:r w:rsidR="0005129C">
              <w:rPr>
                <w:noProof/>
                <w:webHidden/>
              </w:rPr>
              <w:fldChar w:fldCharType="separate"/>
            </w:r>
            <w:r w:rsidR="0005129C">
              <w:rPr>
                <w:noProof/>
                <w:webHidden/>
              </w:rPr>
              <w:t>4</w:t>
            </w:r>
            <w:r w:rsidR="0005129C">
              <w:rPr>
                <w:noProof/>
                <w:webHidden/>
              </w:rPr>
              <w:fldChar w:fldCharType="end"/>
            </w:r>
          </w:hyperlink>
        </w:p>
        <w:p w14:paraId="430B8405" w14:textId="059A69CF" w:rsidR="0005129C" w:rsidRDefault="00F418CF">
          <w:pPr>
            <w:pStyle w:val="TOC1"/>
            <w:rPr>
              <w:rFonts w:eastAsiaTheme="minorEastAsia"/>
              <w:noProof/>
              <w:lang w:eastAsia="en-GB"/>
            </w:rPr>
          </w:pPr>
          <w:hyperlink w:anchor="_Toc105427810" w:history="1">
            <w:r w:rsidR="0005129C" w:rsidRPr="00D24C31">
              <w:rPr>
                <w:rStyle w:val="Hyperlink"/>
                <w:noProof/>
              </w:rPr>
              <w:t>3.</w:t>
            </w:r>
            <w:r w:rsidR="0005129C">
              <w:rPr>
                <w:rFonts w:eastAsiaTheme="minorEastAsia"/>
                <w:noProof/>
                <w:lang w:eastAsia="en-GB"/>
              </w:rPr>
              <w:tab/>
            </w:r>
            <w:r w:rsidR="0005129C" w:rsidRPr="00D24C31">
              <w:rPr>
                <w:rStyle w:val="Hyperlink"/>
                <w:noProof/>
              </w:rPr>
              <w:t>SDDC In-house Carbon Emission Reporting (Scope 1, 2 and 3)</w:t>
            </w:r>
            <w:r w:rsidR="0005129C">
              <w:rPr>
                <w:noProof/>
                <w:webHidden/>
              </w:rPr>
              <w:tab/>
            </w:r>
            <w:r w:rsidR="0005129C">
              <w:rPr>
                <w:noProof/>
                <w:webHidden/>
              </w:rPr>
              <w:fldChar w:fldCharType="begin"/>
            </w:r>
            <w:r w:rsidR="0005129C">
              <w:rPr>
                <w:noProof/>
                <w:webHidden/>
              </w:rPr>
              <w:instrText xml:space="preserve"> PAGEREF _Toc105427810 \h </w:instrText>
            </w:r>
            <w:r w:rsidR="0005129C">
              <w:rPr>
                <w:noProof/>
                <w:webHidden/>
              </w:rPr>
            </w:r>
            <w:r w:rsidR="0005129C">
              <w:rPr>
                <w:noProof/>
                <w:webHidden/>
              </w:rPr>
              <w:fldChar w:fldCharType="separate"/>
            </w:r>
            <w:r w:rsidR="0005129C">
              <w:rPr>
                <w:noProof/>
                <w:webHidden/>
              </w:rPr>
              <w:t>5</w:t>
            </w:r>
            <w:r w:rsidR="0005129C">
              <w:rPr>
                <w:noProof/>
                <w:webHidden/>
              </w:rPr>
              <w:fldChar w:fldCharType="end"/>
            </w:r>
          </w:hyperlink>
        </w:p>
        <w:p w14:paraId="2BD484BE" w14:textId="575D104F" w:rsidR="0005129C" w:rsidRDefault="00F418CF">
          <w:pPr>
            <w:pStyle w:val="TOC2"/>
            <w:tabs>
              <w:tab w:val="left" w:pos="880"/>
              <w:tab w:val="right" w:leader="dot" w:pos="9736"/>
            </w:tabs>
            <w:rPr>
              <w:noProof/>
            </w:rPr>
          </w:pPr>
          <w:hyperlink w:anchor="_Toc105427811" w:history="1">
            <w:r w:rsidR="0005129C" w:rsidRPr="00D24C31">
              <w:rPr>
                <w:rStyle w:val="Hyperlink"/>
                <w:noProof/>
              </w:rPr>
              <w:t>3.1</w:t>
            </w:r>
            <w:r w:rsidR="0005129C">
              <w:rPr>
                <w:noProof/>
              </w:rPr>
              <w:tab/>
            </w:r>
            <w:r w:rsidR="0005129C" w:rsidRPr="00D24C31">
              <w:rPr>
                <w:rStyle w:val="Hyperlink"/>
                <w:noProof/>
              </w:rPr>
              <w:t>Total SDDC In-house carbon emissions (Scope 1 and 2)</w:t>
            </w:r>
            <w:r w:rsidR="0005129C">
              <w:rPr>
                <w:noProof/>
                <w:webHidden/>
              </w:rPr>
              <w:tab/>
            </w:r>
            <w:r w:rsidR="0005129C">
              <w:rPr>
                <w:noProof/>
                <w:webHidden/>
              </w:rPr>
              <w:fldChar w:fldCharType="begin"/>
            </w:r>
            <w:r w:rsidR="0005129C">
              <w:rPr>
                <w:noProof/>
                <w:webHidden/>
              </w:rPr>
              <w:instrText xml:space="preserve"> PAGEREF _Toc105427811 \h </w:instrText>
            </w:r>
            <w:r w:rsidR="0005129C">
              <w:rPr>
                <w:noProof/>
                <w:webHidden/>
              </w:rPr>
            </w:r>
            <w:r w:rsidR="0005129C">
              <w:rPr>
                <w:noProof/>
                <w:webHidden/>
              </w:rPr>
              <w:fldChar w:fldCharType="separate"/>
            </w:r>
            <w:r w:rsidR="0005129C">
              <w:rPr>
                <w:noProof/>
                <w:webHidden/>
              </w:rPr>
              <w:t>5</w:t>
            </w:r>
            <w:r w:rsidR="0005129C">
              <w:rPr>
                <w:noProof/>
                <w:webHidden/>
              </w:rPr>
              <w:fldChar w:fldCharType="end"/>
            </w:r>
          </w:hyperlink>
        </w:p>
        <w:p w14:paraId="12F52719" w14:textId="7409FEB0" w:rsidR="0005129C" w:rsidRDefault="00F418CF">
          <w:pPr>
            <w:pStyle w:val="TOC2"/>
            <w:tabs>
              <w:tab w:val="left" w:pos="880"/>
              <w:tab w:val="right" w:leader="dot" w:pos="9736"/>
            </w:tabs>
            <w:rPr>
              <w:noProof/>
            </w:rPr>
          </w:pPr>
          <w:hyperlink w:anchor="_Toc105427812" w:history="1">
            <w:r w:rsidR="0005129C" w:rsidRPr="00D24C31">
              <w:rPr>
                <w:rStyle w:val="Hyperlink"/>
                <w:noProof/>
              </w:rPr>
              <w:t>3.2</w:t>
            </w:r>
            <w:r w:rsidR="0005129C">
              <w:rPr>
                <w:noProof/>
              </w:rPr>
              <w:tab/>
            </w:r>
            <w:r w:rsidR="0005129C" w:rsidRPr="00D24C31">
              <w:rPr>
                <w:rStyle w:val="Hyperlink"/>
                <w:noProof/>
              </w:rPr>
              <w:t>Individual in-house carbon emission sources (Scope 1 and 2)</w:t>
            </w:r>
            <w:r w:rsidR="0005129C">
              <w:rPr>
                <w:noProof/>
                <w:webHidden/>
              </w:rPr>
              <w:tab/>
            </w:r>
            <w:r w:rsidR="0005129C">
              <w:rPr>
                <w:noProof/>
                <w:webHidden/>
              </w:rPr>
              <w:fldChar w:fldCharType="begin"/>
            </w:r>
            <w:r w:rsidR="0005129C">
              <w:rPr>
                <w:noProof/>
                <w:webHidden/>
              </w:rPr>
              <w:instrText xml:space="preserve"> PAGEREF _Toc105427812 \h </w:instrText>
            </w:r>
            <w:r w:rsidR="0005129C">
              <w:rPr>
                <w:noProof/>
                <w:webHidden/>
              </w:rPr>
            </w:r>
            <w:r w:rsidR="0005129C">
              <w:rPr>
                <w:noProof/>
                <w:webHidden/>
              </w:rPr>
              <w:fldChar w:fldCharType="separate"/>
            </w:r>
            <w:r w:rsidR="0005129C">
              <w:rPr>
                <w:noProof/>
                <w:webHidden/>
              </w:rPr>
              <w:t>5</w:t>
            </w:r>
            <w:r w:rsidR="0005129C">
              <w:rPr>
                <w:noProof/>
                <w:webHidden/>
              </w:rPr>
              <w:fldChar w:fldCharType="end"/>
            </w:r>
          </w:hyperlink>
        </w:p>
        <w:p w14:paraId="61E994CA" w14:textId="2B8A1DC9" w:rsidR="0005129C" w:rsidRDefault="00F418CF">
          <w:pPr>
            <w:pStyle w:val="TOC2"/>
            <w:tabs>
              <w:tab w:val="left" w:pos="880"/>
              <w:tab w:val="right" w:leader="dot" w:pos="9736"/>
            </w:tabs>
            <w:rPr>
              <w:noProof/>
            </w:rPr>
          </w:pPr>
          <w:hyperlink w:anchor="_Toc105427813" w:history="1">
            <w:r w:rsidR="0005129C" w:rsidRPr="00D24C31">
              <w:rPr>
                <w:rStyle w:val="Hyperlink"/>
                <w:noProof/>
              </w:rPr>
              <w:t>3.3</w:t>
            </w:r>
            <w:r w:rsidR="0005129C">
              <w:rPr>
                <w:noProof/>
              </w:rPr>
              <w:tab/>
            </w:r>
            <w:r w:rsidR="0005129C" w:rsidRPr="00D24C31">
              <w:rPr>
                <w:rStyle w:val="Hyperlink"/>
                <w:noProof/>
              </w:rPr>
              <w:t>Public Building carbon emissions by location (Scope 1 and 2)</w:t>
            </w:r>
            <w:r w:rsidR="0005129C">
              <w:rPr>
                <w:noProof/>
                <w:webHidden/>
              </w:rPr>
              <w:tab/>
            </w:r>
            <w:r w:rsidR="0005129C">
              <w:rPr>
                <w:noProof/>
                <w:webHidden/>
              </w:rPr>
              <w:fldChar w:fldCharType="begin"/>
            </w:r>
            <w:r w:rsidR="0005129C">
              <w:rPr>
                <w:noProof/>
                <w:webHidden/>
              </w:rPr>
              <w:instrText xml:space="preserve"> PAGEREF _Toc105427813 \h </w:instrText>
            </w:r>
            <w:r w:rsidR="0005129C">
              <w:rPr>
                <w:noProof/>
                <w:webHidden/>
              </w:rPr>
            </w:r>
            <w:r w:rsidR="0005129C">
              <w:rPr>
                <w:noProof/>
                <w:webHidden/>
              </w:rPr>
              <w:fldChar w:fldCharType="separate"/>
            </w:r>
            <w:r w:rsidR="0005129C">
              <w:rPr>
                <w:noProof/>
                <w:webHidden/>
              </w:rPr>
              <w:t>6</w:t>
            </w:r>
            <w:r w:rsidR="0005129C">
              <w:rPr>
                <w:noProof/>
                <w:webHidden/>
              </w:rPr>
              <w:fldChar w:fldCharType="end"/>
            </w:r>
          </w:hyperlink>
        </w:p>
        <w:p w14:paraId="58FDF7C0" w14:textId="21D73ACE" w:rsidR="0005129C" w:rsidRDefault="00F418CF">
          <w:pPr>
            <w:pStyle w:val="TOC2"/>
            <w:tabs>
              <w:tab w:val="left" w:pos="880"/>
              <w:tab w:val="right" w:leader="dot" w:pos="9736"/>
            </w:tabs>
            <w:rPr>
              <w:noProof/>
            </w:rPr>
          </w:pPr>
          <w:hyperlink w:anchor="_Toc105427814" w:history="1">
            <w:r w:rsidR="0005129C" w:rsidRPr="00D24C31">
              <w:rPr>
                <w:rStyle w:val="Hyperlink"/>
                <w:noProof/>
              </w:rPr>
              <w:t>3.4</w:t>
            </w:r>
            <w:r w:rsidR="0005129C">
              <w:rPr>
                <w:noProof/>
              </w:rPr>
              <w:tab/>
            </w:r>
            <w:r w:rsidR="0005129C" w:rsidRPr="00D24C31">
              <w:rPr>
                <w:rStyle w:val="Hyperlink"/>
                <w:noProof/>
              </w:rPr>
              <w:t>Scope 3 In-house carbon emission sources</w:t>
            </w:r>
            <w:r w:rsidR="0005129C">
              <w:rPr>
                <w:noProof/>
                <w:webHidden/>
              </w:rPr>
              <w:tab/>
            </w:r>
            <w:r w:rsidR="0005129C">
              <w:rPr>
                <w:noProof/>
                <w:webHidden/>
              </w:rPr>
              <w:fldChar w:fldCharType="begin"/>
            </w:r>
            <w:r w:rsidR="0005129C">
              <w:rPr>
                <w:noProof/>
                <w:webHidden/>
              </w:rPr>
              <w:instrText xml:space="preserve"> PAGEREF _Toc105427814 \h </w:instrText>
            </w:r>
            <w:r w:rsidR="0005129C">
              <w:rPr>
                <w:noProof/>
                <w:webHidden/>
              </w:rPr>
            </w:r>
            <w:r w:rsidR="0005129C">
              <w:rPr>
                <w:noProof/>
                <w:webHidden/>
              </w:rPr>
              <w:fldChar w:fldCharType="separate"/>
            </w:r>
            <w:r w:rsidR="0005129C">
              <w:rPr>
                <w:noProof/>
                <w:webHidden/>
              </w:rPr>
              <w:t>8</w:t>
            </w:r>
            <w:r w:rsidR="0005129C">
              <w:rPr>
                <w:noProof/>
                <w:webHidden/>
              </w:rPr>
              <w:fldChar w:fldCharType="end"/>
            </w:r>
          </w:hyperlink>
        </w:p>
        <w:p w14:paraId="22166FF2" w14:textId="29234FBF" w:rsidR="0005129C" w:rsidRDefault="00F418CF">
          <w:pPr>
            <w:pStyle w:val="TOC1"/>
            <w:rPr>
              <w:rFonts w:eastAsiaTheme="minorEastAsia"/>
              <w:noProof/>
              <w:lang w:eastAsia="en-GB"/>
            </w:rPr>
          </w:pPr>
          <w:hyperlink w:anchor="_Toc105427815" w:history="1">
            <w:r w:rsidR="0005129C" w:rsidRPr="00D24C31">
              <w:rPr>
                <w:rStyle w:val="Hyperlink"/>
                <w:noProof/>
              </w:rPr>
              <w:t>4.</w:t>
            </w:r>
            <w:r w:rsidR="0005129C">
              <w:rPr>
                <w:rFonts w:eastAsiaTheme="minorEastAsia"/>
                <w:noProof/>
                <w:lang w:eastAsia="en-GB"/>
              </w:rPr>
              <w:tab/>
            </w:r>
            <w:r w:rsidR="0005129C" w:rsidRPr="00D24C31">
              <w:rPr>
                <w:rStyle w:val="Hyperlink"/>
                <w:noProof/>
              </w:rPr>
              <w:t>South Derbyshire District-wide carbon emission estimates</w:t>
            </w:r>
            <w:r w:rsidR="0005129C">
              <w:rPr>
                <w:noProof/>
                <w:webHidden/>
              </w:rPr>
              <w:tab/>
            </w:r>
            <w:r w:rsidR="0005129C">
              <w:rPr>
                <w:noProof/>
                <w:webHidden/>
              </w:rPr>
              <w:fldChar w:fldCharType="begin"/>
            </w:r>
            <w:r w:rsidR="0005129C">
              <w:rPr>
                <w:noProof/>
                <w:webHidden/>
              </w:rPr>
              <w:instrText xml:space="preserve"> PAGEREF _Toc105427815 \h </w:instrText>
            </w:r>
            <w:r w:rsidR="0005129C">
              <w:rPr>
                <w:noProof/>
                <w:webHidden/>
              </w:rPr>
            </w:r>
            <w:r w:rsidR="0005129C">
              <w:rPr>
                <w:noProof/>
                <w:webHidden/>
              </w:rPr>
              <w:fldChar w:fldCharType="separate"/>
            </w:r>
            <w:r w:rsidR="0005129C">
              <w:rPr>
                <w:noProof/>
                <w:webHidden/>
              </w:rPr>
              <w:t>9</w:t>
            </w:r>
            <w:r w:rsidR="0005129C">
              <w:rPr>
                <w:noProof/>
                <w:webHidden/>
              </w:rPr>
              <w:fldChar w:fldCharType="end"/>
            </w:r>
          </w:hyperlink>
        </w:p>
        <w:p w14:paraId="51D15FAB" w14:textId="0170FD66" w:rsidR="0005129C" w:rsidRDefault="00F418CF">
          <w:pPr>
            <w:pStyle w:val="TOC1"/>
            <w:rPr>
              <w:rFonts w:eastAsiaTheme="minorEastAsia"/>
              <w:noProof/>
              <w:lang w:eastAsia="en-GB"/>
            </w:rPr>
          </w:pPr>
          <w:hyperlink w:anchor="_Toc105427816" w:history="1">
            <w:r w:rsidR="0005129C" w:rsidRPr="00D24C31">
              <w:rPr>
                <w:rStyle w:val="Hyperlink"/>
                <w:noProof/>
              </w:rPr>
              <w:t>5.</w:t>
            </w:r>
            <w:r w:rsidR="0005129C">
              <w:rPr>
                <w:rFonts w:eastAsiaTheme="minorEastAsia"/>
                <w:noProof/>
                <w:lang w:eastAsia="en-GB"/>
              </w:rPr>
              <w:tab/>
            </w:r>
            <w:r w:rsidR="0005129C" w:rsidRPr="00D24C31">
              <w:rPr>
                <w:rStyle w:val="Hyperlink"/>
                <w:noProof/>
              </w:rPr>
              <w:t>Achievement Summary</w:t>
            </w:r>
            <w:r w:rsidR="0005129C">
              <w:rPr>
                <w:noProof/>
                <w:webHidden/>
              </w:rPr>
              <w:tab/>
            </w:r>
            <w:r w:rsidR="0005129C">
              <w:rPr>
                <w:noProof/>
                <w:webHidden/>
              </w:rPr>
              <w:fldChar w:fldCharType="begin"/>
            </w:r>
            <w:r w:rsidR="0005129C">
              <w:rPr>
                <w:noProof/>
                <w:webHidden/>
              </w:rPr>
              <w:instrText xml:space="preserve"> PAGEREF _Toc105427816 \h </w:instrText>
            </w:r>
            <w:r w:rsidR="0005129C">
              <w:rPr>
                <w:noProof/>
                <w:webHidden/>
              </w:rPr>
            </w:r>
            <w:r w:rsidR="0005129C">
              <w:rPr>
                <w:noProof/>
                <w:webHidden/>
              </w:rPr>
              <w:fldChar w:fldCharType="separate"/>
            </w:r>
            <w:r w:rsidR="0005129C">
              <w:rPr>
                <w:noProof/>
                <w:webHidden/>
              </w:rPr>
              <w:t>10</w:t>
            </w:r>
            <w:r w:rsidR="0005129C">
              <w:rPr>
                <w:noProof/>
                <w:webHidden/>
              </w:rPr>
              <w:fldChar w:fldCharType="end"/>
            </w:r>
          </w:hyperlink>
        </w:p>
        <w:p w14:paraId="68500B45" w14:textId="5A6E5810" w:rsidR="0005129C" w:rsidRDefault="00F418CF">
          <w:pPr>
            <w:pStyle w:val="TOC1"/>
            <w:rPr>
              <w:rFonts w:eastAsiaTheme="minorEastAsia"/>
              <w:noProof/>
              <w:lang w:eastAsia="en-GB"/>
            </w:rPr>
          </w:pPr>
          <w:hyperlink w:anchor="_Toc105427817" w:history="1">
            <w:r w:rsidR="0005129C" w:rsidRPr="00D24C31">
              <w:rPr>
                <w:rStyle w:val="Hyperlink"/>
                <w:noProof/>
              </w:rPr>
              <w:t>6.</w:t>
            </w:r>
            <w:r w:rsidR="0005129C">
              <w:rPr>
                <w:rFonts w:eastAsiaTheme="minorEastAsia"/>
                <w:noProof/>
                <w:lang w:eastAsia="en-GB"/>
              </w:rPr>
              <w:tab/>
            </w:r>
            <w:r w:rsidR="0005129C" w:rsidRPr="00D24C31">
              <w:rPr>
                <w:rStyle w:val="Hyperlink"/>
                <w:noProof/>
              </w:rPr>
              <w:t>Recommendations</w:t>
            </w:r>
            <w:r w:rsidR="0005129C">
              <w:rPr>
                <w:noProof/>
                <w:webHidden/>
              </w:rPr>
              <w:tab/>
            </w:r>
            <w:r w:rsidR="0005129C">
              <w:rPr>
                <w:noProof/>
                <w:webHidden/>
              </w:rPr>
              <w:fldChar w:fldCharType="begin"/>
            </w:r>
            <w:r w:rsidR="0005129C">
              <w:rPr>
                <w:noProof/>
                <w:webHidden/>
              </w:rPr>
              <w:instrText xml:space="preserve"> PAGEREF _Toc105427817 \h </w:instrText>
            </w:r>
            <w:r w:rsidR="0005129C">
              <w:rPr>
                <w:noProof/>
                <w:webHidden/>
              </w:rPr>
            </w:r>
            <w:r w:rsidR="0005129C">
              <w:rPr>
                <w:noProof/>
                <w:webHidden/>
              </w:rPr>
              <w:fldChar w:fldCharType="separate"/>
            </w:r>
            <w:r w:rsidR="0005129C">
              <w:rPr>
                <w:noProof/>
                <w:webHidden/>
              </w:rPr>
              <w:t>12</w:t>
            </w:r>
            <w:r w:rsidR="0005129C">
              <w:rPr>
                <w:noProof/>
                <w:webHidden/>
              </w:rPr>
              <w:fldChar w:fldCharType="end"/>
            </w:r>
          </w:hyperlink>
        </w:p>
        <w:p w14:paraId="0562CB0E" w14:textId="749E8C1F" w:rsidR="00876DB0" w:rsidRDefault="00876DB0">
          <w:r>
            <w:rPr>
              <w:b/>
              <w:bCs/>
              <w:noProof/>
            </w:rPr>
            <w:fldChar w:fldCharType="end"/>
          </w:r>
        </w:p>
      </w:sdtContent>
    </w:sdt>
    <w:p w14:paraId="5F5038AD" w14:textId="77777777" w:rsidR="00E45FAA" w:rsidRDefault="00A731DB" w:rsidP="00A731DB">
      <w:pPr>
        <w:pStyle w:val="Heading1"/>
      </w:pPr>
      <w:bookmarkStart w:id="1" w:name="_Toc105427804"/>
      <w:r>
        <w:t>Version Control</w:t>
      </w:r>
      <w:bookmarkEnd w:id="1"/>
    </w:p>
    <w:tbl>
      <w:tblPr>
        <w:tblStyle w:val="LightList-Accent1"/>
        <w:tblW w:w="0" w:type="auto"/>
        <w:tblInd w:w="108" w:type="dxa"/>
        <w:tblLook w:val="0020" w:firstRow="1" w:lastRow="0" w:firstColumn="0" w:lastColumn="0" w:noHBand="0" w:noVBand="0"/>
      </w:tblPr>
      <w:tblGrid>
        <w:gridCol w:w="1411"/>
        <w:gridCol w:w="4932"/>
        <w:gridCol w:w="3275"/>
      </w:tblGrid>
      <w:tr w:rsidR="00A731DB" w14:paraId="1E26FCCD" w14:textId="77777777" w:rsidTr="005A3CF8">
        <w:trPr>
          <w:cnfStyle w:val="100000000000" w:firstRow="1" w:lastRow="0" w:firstColumn="0" w:lastColumn="0" w:oddVBand="0" w:evenVBand="0" w:oddHBand="0" w:evenHBand="0" w:firstRowFirstColumn="0" w:firstRowLastColumn="0" w:lastRowFirstColumn="0" w:lastRowLastColumn="0"/>
          <w:trHeight w:val="264"/>
        </w:trPr>
        <w:tc>
          <w:tcPr>
            <w:cnfStyle w:val="000010000000" w:firstRow="0" w:lastRow="0" w:firstColumn="0" w:lastColumn="0" w:oddVBand="1" w:evenVBand="0" w:oddHBand="0" w:evenHBand="0" w:firstRowFirstColumn="0" w:firstRowLastColumn="0" w:lastRowFirstColumn="0" w:lastRowLastColumn="0"/>
            <w:tcW w:w="1420" w:type="dxa"/>
            <w:tcBorders>
              <w:top w:val="none" w:sz="0" w:space="0" w:color="auto"/>
              <w:left w:val="none" w:sz="0" w:space="0" w:color="auto"/>
              <w:bottom w:val="nil"/>
              <w:right w:val="none" w:sz="0" w:space="0" w:color="auto"/>
            </w:tcBorders>
          </w:tcPr>
          <w:p w14:paraId="6B814A1E" w14:textId="77777777" w:rsidR="00A731DB" w:rsidRDefault="00A731DB" w:rsidP="00A731DB">
            <w:pPr>
              <w:jc w:val="center"/>
            </w:pPr>
            <w:r>
              <w:t>Version</w:t>
            </w:r>
          </w:p>
        </w:tc>
        <w:tc>
          <w:tcPr>
            <w:tcW w:w="5015" w:type="dxa"/>
            <w:tcBorders>
              <w:bottom w:val="nil"/>
            </w:tcBorders>
          </w:tcPr>
          <w:p w14:paraId="21C015DF" w14:textId="77777777" w:rsidR="00A731DB" w:rsidRDefault="00A731DB" w:rsidP="00A731DB">
            <w:pPr>
              <w:jc w:val="center"/>
              <w:cnfStyle w:val="100000000000" w:firstRow="1" w:lastRow="0" w:firstColumn="0" w:lastColumn="0" w:oddVBand="0" w:evenVBand="0" w:oddHBand="0" w:evenHBand="0" w:firstRowFirstColumn="0" w:firstRowLastColumn="0" w:lastRowFirstColumn="0" w:lastRowLastColumn="0"/>
            </w:pPr>
            <w:r>
              <w:t>Description of version</w:t>
            </w:r>
          </w:p>
        </w:tc>
        <w:tc>
          <w:tcPr>
            <w:cnfStyle w:val="000010000000" w:firstRow="0" w:lastRow="0" w:firstColumn="0" w:lastColumn="0" w:oddVBand="1" w:evenVBand="0" w:oddHBand="0" w:evenHBand="0" w:firstRowFirstColumn="0" w:firstRowLastColumn="0" w:lastRowFirstColumn="0" w:lastRowLastColumn="0"/>
            <w:tcW w:w="3326" w:type="dxa"/>
            <w:tcBorders>
              <w:top w:val="none" w:sz="0" w:space="0" w:color="auto"/>
              <w:left w:val="none" w:sz="0" w:space="0" w:color="auto"/>
              <w:bottom w:val="nil"/>
              <w:right w:val="none" w:sz="0" w:space="0" w:color="auto"/>
            </w:tcBorders>
          </w:tcPr>
          <w:p w14:paraId="43C58A28" w14:textId="77777777" w:rsidR="00A731DB" w:rsidRDefault="00A731DB" w:rsidP="00A731DB">
            <w:pPr>
              <w:jc w:val="center"/>
            </w:pPr>
            <w:r>
              <w:t>Effective Date</w:t>
            </w:r>
          </w:p>
        </w:tc>
      </w:tr>
      <w:tr w:rsidR="00A731DB" w14:paraId="1CF0608D" w14:textId="77777777" w:rsidTr="005A3CF8">
        <w:trPr>
          <w:cnfStyle w:val="000000100000" w:firstRow="0" w:lastRow="0" w:firstColumn="0" w:lastColumn="0" w:oddVBand="0" w:evenVBand="0" w:oddHBand="1" w:evenHBand="0" w:firstRowFirstColumn="0" w:firstRowLastColumn="0" w:lastRowFirstColumn="0" w:lastRowLastColumn="0"/>
          <w:trHeight w:val="264"/>
        </w:trPr>
        <w:tc>
          <w:tcPr>
            <w:cnfStyle w:val="000010000000" w:firstRow="0" w:lastRow="0" w:firstColumn="0" w:lastColumn="0" w:oddVBand="1" w:evenVBand="0" w:oddHBand="0" w:evenHBand="0" w:firstRowFirstColumn="0" w:firstRowLastColumn="0" w:lastRowFirstColumn="0" w:lastRowLastColumn="0"/>
            <w:tcW w:w="1420" w:type="dxa"/>
            <w:tcBorders>
              <w:top w:val="nil"/>
              <w:left w:val="none" w:sz="0" w:space="0" w:color="auto"/>
            </w:tcBorders>
          </w:tcPr>
          <w:p w14:paraId="6F54A5A7" w14:textId="77777777" w:rsidR="00A731DB" w:rsidRDefault="00F42AC3">
            <w:r>
              <w:t>0.1</w:t>
            </w:r>
          </w:p>
        </w:tc>
        <w:tc>
          <w:tcPr>
            <w:tcW w:w="5015" w:type="dxa"/>
            <w:tcBorders>
              <w:top w:val="nil"/>
              <w:left w:val="single" w:sz="8" w:space="0" w:color="2D0054" w:themeColor="accent1"/>
              <w:right w:val="single" w:sz="8" w:space="0" w:color="2D0054" w:themeColor="accent1"/>
            </w:tcBorders>
          </w:tcPr>
          <w:p w14:paraId="7702C664" w14:textId="77777777" w:rsidR="00A731DB" w:rsidRDefault="00F42AC3">
            <w:pPr>
              <w:cnfStyle w:val="000000100000" w:firstRow="0" w:lastRow="0" w:firstColumn="0" w:lastColumn="0" w:oddVBand="0" w:evenVBand="0" w:oddHBand="1" w:evenHBand="0" w:firstRowFirstColumn="0" w:firstRowLastColumn="0" w:lastRowFirstColumn="0" w:lastRowLastColumn="0"/>
            </w:pPr>
            <w:r>
              <w:t>DRAFT</w:t>
            </w:r>
          </w:p>
        </w:tc>
        <w:tc>
          <w:tcPr>
            <w:cnfStyle w:val="000010000000" w:firstRow="0" w:lastRow="0" w:firstColumn="0" w:lastColumn="0" w:oddVBand="1" w:evenVBand="0" w:oddHBand="0" w:evenHBand="0" w:firstRowFirstColumn="0" w:firstRowLastColumn="0" w:lastRowFirstColumn="0" w:lastRowLastColumn="0"/>
            <w:tcW w:w="3326" w:type="dxa"/>
            <w:tcBorders>
              <w:top w:val="nil"/>
              <w:right w:val="none" w:sz="0" w:space="0" w:color="auto"/>
            </w:tcBorders>
          </w:tcPr>
          <w:p w14:paraId="34CE0A41" w14:textId="77777777" w:rsidR="00A731DB" w:rsidRDefault="00A731DB"/>
        </w:tc>
      </w:tr>
      <w:tr w:rsidR="00A731DB" w14:paraId="62EBF3C5" w14:textId="77777777" w:rsidTr="005A3CF8">
        <w:trPr>
          <w:trHeight w:val="280"/>
        </w:trPr>
        <w:tc>
          <w:tcPr>
            <w:cnfStyle w:val="000010000000" w:firstRow="0" w:lastRow="0" w:firstColumn="0" w:lastColumn="0" w:oddVBand="1" w:evenVBand="0" w:oddHBand="0" w:evenHBand="0" w:firstRowFirstColumn="0" w:firstRowLastColumn="0" w:lastRowFirstColumn="0" w:lastRowLastColumn="0"/>
            <w:tcW w:w="1420" w:type="dxa"/>
            <w:tcBorders>
              <w:top w:val="single" w:sz="8" w:space="0" w:color="2D0054" w:themeColor="accent1"/>
              <w:left w:val="none" w:sz="0" w:space="0" w:color="auto"/>
            </w:tcBorders>
          </w:tcPr>
          <w:p w14:paraId="6D98A12B" w14:textId="77777777" w:rsidR="00A731DB" w:rsidRDefault="00A731DB"/>
        </w:tc>
        <w:tc>
          <w:tcPr>
            <w:tcW w:w="5015" w:type="dxa"/>
            <w:tcBorders>
              <w:top w:val="single" w:sz="8" w:space="0" w:color="2D0054" w:themeColor="accent1"/>
              <w:left w:val="single" w:sz="8" w:space="0" w:color="2D0054" w:themeColor="accent1"/>
              <w:bottom w:val="single" w:sz="8" w:space="0" w:color="2D0054" w:themeColor="accent1"/>
              <w:right w:val="single" w:sz="8" w:space="0" w:color="2D0054" w:themeColor="accent1"/>
            </w:tcBorders>
          </w:tcPr>
          <w:p w14:paraId="2946DB82" w14:textId="77777777" w:rsidR="00A731DB" w:rsidRDefault="00A731DB">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326" w:type="dxa"/>
            <w:tcBorders>
              <w:top w:val="single" w:sz="8" w:space="0" w:color="2D0054" w:themeColor="accent1"/>
              <w:right w:val="none" w:sz="0" w:space="0" w:color="auto"/>
            </w:tcBorders>
          </w:tcPr>
          <w:p w14:paraId="5997CC1D" w14:textId="77777777" w:rsidR="00A731DB" w:rsidRDefault="00A731DB"/>
        </w:tc>
      </w:tr>
    </w:tbl>
    <w:p w14:paraId="4A479C61" w14:textId="77777777" w:rsidR="00876DB0" w:rsidRDefault="00A731DB" w:rsidP="00A731DB">
      <w:pPr>
        <w:pStyle w:val="Heading1"/>
      </w:pPr>
      <w:bookmarkStart w:id="2" w:name="_Toc105427805"/>
      <w:r>
        <w:t>Approvals</w:t>
      </w:r>
      <w:bookmarkEnd w:id="2"/>
    </w:p>
    <w:tbl>
      <w:tblPr>
        <w:tblStyle w:val="LightList-Accent1"/>
        <w:tblW w:w="0" w:type="auto"/>
        <w:tblInd w:w="108" w:type="dxa"/>
        <w:tblLook w:val="0020" w:firstRow="1" w:lastRow="0" w:firstColumn="0" w:lastColumn="0" w:noHBand="0" w:noVBand="0"/>
      </w:tblPr>
      <w:tblGrid>
        <w:gridCol w:w="7775"/>
        <w:gridCol w:w="1843"/>
      </w:tblGrid>
      <w:tr w:rsidR="00A731DB" w14:paraId="0AE09298" w14:textId="77777777" w:rsidTr="005A3CF8">
        <w:trPr>
          <w:cnfStyle w:val="100000000000" w:firstRow="1" w:lastRow="0" w:firstColumn="0" w:lastColumn="0" w:oddVBand="0" w:evenVBand="0" w:oddHBand="0" w:evenHBand="0" w:firstRowFirstColumn="0" w:firstRowLastColumn="0" w:lastRowFirstColumn="0" w:lastRowLastColumn="0"/>
          <w:trHeight w:val="265"/>
        </w:trPr>
        <w:tc>
          <w:tcPr>
            <w:cnfStyle w:val="000010000000" w:firstRow="0" w:lastRow="0" w:firstColumn="0" w:lastColumn="0" w:oddVBand="1" w:evenVBand="0" w:oddHBand="0" w:evenHBand="0" w:firstRowFirstColumn="0" w:firstRowLastColumn="0" w:lastRowFirstColumn="0" w:lastRowLastColumn="0"/>
            <w:tcW w:w="7907" w:type="dxa"/>
            <w:tcBorders>
              <w:top w:val="none" w:sz="0" w:space="0" w:color="auto"/>
              <w:left w:val="none" w:sz="0" w:space="0" w:color="auto"/>
              <w:bottom w:val="nil"/>
              <w:right w:val="none" w:sz="0" w:space="0" w:color="auto"/>
            </w:tcBorders>
          </w:tcPr>
          <w:p w14:paraId="344E8418" w14:textId="77777777" w:rsidR="00A731DB" w:rsidRDefault="00A731DB" w:rsidP="00BE002F">
            <w:pPr>
              <w:jc w:val="center"/>
            </w:pPr>
            <w:r>
              <w:t>Approved by</w:t>
            </w:r>
          </w:p>
        </w:tc>
        <w:tc>
          <w:tcPr>
            <w:tcW w:w="1867" w:type="dxa"/>
            <w:tcBorders>
              <w:bottom w:val="nil"/>
            </w:tcBorders>
          </w:tcPr>
          <w:p w14:paraId="491072FA" w14:textId="77777777" w:rsidR="00A731DB" w:rsidRDefault="00A731DB" w:rsidP="00BE002F">
            <w:pPr>
              <w:jc w:val="center"/>
              <w:cnfStyle w:val="100000000000" w:firstRow="1" w:lastRow="0" w:firstColumn="0" w:lastColumn="0" w:oddVBand="0" w:evenVBand="0" w:oddHBand="0" w:evenHBand="0" w:firstRowFirstColumn="0" w:firstRowLastColumn="0" w:lastRowFirstColumn="0" w:lastRowLastColumn="0"/>
            </w:pPr>
            <w:r>
              <w:t>Date</w:t>
            </w:r>
          </w:p>
        </w:tc>
      </w:tr>
      <w:tr w:rsidR="00A731DB" w14:paraId="110FFD37" w14:textId="77777777" w:rsidTr="005A3CF8">
        <w:trPr>
          <w:cnfStyle w:val="000000100000" w:firstRow="0" w:lastRow="0" w:firstColumn="0" w:lastColumn="0" w:oddVBand="0" w:evenVBand="0" w:oddHBand="1" w:evenHBand="0" w:firstRowFirstColumn="0" w:firstRowLastColumn="0" w:lastRowFirstColumn="0" w:lastRowLastColumn="0"/>
          <w:trHeight w:val="280"/>
        </w:trPr>
        <w:tc>
          <w:tcPr>
            <w:cnfStyle w:val="000010000000" w:firstRow="0" w:lastRow="0" w:firstColumn="0" w:lastColumn="0" w:oddVBand="1" w:evenVBand="0" w:oddHBand="0" w:evenHBand="0" w:firstRowFirstColumn="0" w:firstRowLastColumn="0" w:lastRowFirstColumn="0" w:lastRowLastColumn="0"/>
            <w:tcW w:w="7907" w:type="dxa"/>
            <w:tcBorders>
              <w:top w:val="nil"/>
              <w:left w:val="none" w:sz="0" w:space="0" w:color="auto"/>
            </w:tcBorders>
          </w:tcPr>
          <w:p w14:paraId="6B699379" w14:textId="4614E21D" w:rsidR="00A731DB" w:rsidRDefault="005E579A" w:rsidP="00BE002F">
            <w:r>
              <w:t>Matt Holford, Head of Environmental Services</w:t>
            </w:r>
          </w:p>
        </w:tc>
        <w:tc>
          <w:tcPr>
            <w:tcW w:w="1867" w:type="dxa"/>
            <w:tcBorders>
              <w:top w:val="nil"/>
              <w:left w:val="single" w:sz="8" w:space="0" w:color="2D0054" w:themeColor="accent1"/>
              <w:right w:val="none" w:sz="0" w:space="0" w:color="auto"/>
            </w:tcBorders>
          </w:tcPr>
          <w:p w14:paraId="3FE9F23F" w14:textId="41D2039F" w:rsidR="00A731DB" w:rsidRDefault="00323BBF" w:rsidP="00BE002F">
            <w:pPr>
              <w:cnfStyle w:val="000000100000" w:firstRow="0" w:lastRow="0" w:firstColumn="0" w:lastColumn="0" w:oddVBand="0" w:evenVBand="0" w:oddHBand="1" w:evenHBand="0" w:firstRowFirstColumn="0" w:firstRowLastColumn="0" w:lastRowFirstColumn="0" w:lastRowLastColumn="0"/>
            </w:pPr>
            <w:r>
              <w:t>1 July</w:t>
            </w:r>
            <w:r w:rsidR="005E579A">
              <w:t xml:space="preserve"> 2022</w:t>
            </w:r>
          </w:p>
        </w:tc>
      </w:tr>
      <w:tr w:rsidR="00A731DB" w14:paraId="1F72F646" w14:textId="77777777" w:rsidTr="005A3CF8">
        <w:trPr>
          <w:trHeight w:val="265"/>
        </w:trPr>
        <w:tc>
          <w:tcPr>
            <w:cnfStyle w:val="000010000000" w:firstRow="0" w:lastRow="0" w:firstColumn="0" w:lastColumn="0" w:oddVBand="1" w:evenVBand="0" w:oddHBand="0" w:evenHBand="0" w:firstRowFirstColumn="0" w:firstRowLastColumn="0" w:lastRowFirstColumn="0" w:lastRowLastColumn="0"/>
            <w:tcW w:w="7907" w:type="dxa"/>
            <w:tcBorders>
              <w:top w:val="single" w:sz="8" w:space="0" w:color="2D0054" w:themeColor="accent1"/>
              <w:left w:val="none" w:sz="0" w:space="0" w:color="auto"/>
            </w:tcBorders>
          </w:tcPr>
          <w:p w14:paraId="08CE6F91" w14:textId="77777777" w:rsidR="00A731DB" w:rsidRDefault="00A731DB" w:rsidP="00BE002F"/>
        </w:tc>
        <w:tc>
          <w:tcPr>
            <w:tcW w:w="1867" w:type="dxa"/>
            <w:tcBorders>
              <w:top w:val="single" w:sz="8" w:space="0" w:color="2D0054" w:themeColor="accent1"/>
              <w:left w:val="single" w:sz="8" w:space="0" w:color="2D0054" w:themeColor="accent1"/>
              <w:bottom w:val="single" w:sz="8" w:space="0" w:color="2D0054" w:themeColor="accent1"/>
            </w:tcBorders>
          </w:tcPr>
          <w:p w14:paraId="61CDCEAD" w14:textId="77777777" w:rsidR="00A731DB" w:rsidRDefault="00A731DB" w:rsidP="00BE002F">
            <w:pPr>
              <w:cnfStyle w:val="000000000000" w:firstRow="0" w:lastRow="0" w:firstColumn="0" w:lastColumn="0" w:oddVBand="0" w:evenVBand="0" w:oddHBand="0" w:evenHBand="0" w:firstRowFirstColumn="0" w:firstRowLastColumn="0" w:lastRowFirstColumn="0" w:lastRowLastColumn="0"/>
            </w:pPr>
          </w:p>
        </w:tc>
      </w:tr>
    </w:tbl>
    <w:p w14:paraId="3B1FDD25" w14:textId="77777777" w:rsidR="00A731DB" w:rsidRDefault="00A731DB" w:rsidP="00A731DB">
      <w:pPr>
        <w:pStyle w:val="Heading1"/>
      </w:pPr>
      <w:bookmarkStart w:id="3" w:name="_Toc105427806"/>
      <w:r>
        <w:t>Associated Documentation</w:t>
      </w:r>
      <w:bookmarkEnd w:id="3"/>
    </w:p>
    <w:tbl>
      <w:tblPr>
        <w:tblStyle w:val="LightList-Accent1"/>
        <w:tblW w:w="0" w:type="auto"/>
        <w:tblInd w:w="108" w:type="dxa"/>
        <w:tblLook w:val="0020" w:firstRow="1" w:lastRow="0" w:firstColumn="0" w:lastColumn="0" w:noHBand="0" w:noVBand="0"/>
      </w:tblPr>
      <w:tblGrid>
        <w:gridCol w:w="6261"/>
        <w:gridCol w:w="3357"/>
      </w:tblGrid>
      <w:tr w:rsidR="006B6F39" w14:paraId="2F236B68" w14:textId="77777777" w:rsidTr="002119BE">
        <w:trPr>
          <w:cnfStyle w:val="100000000000" w:firstRow="1" w:lastRow="0" w:firstColumn="0" w:lastColumn="0" w:oddVBand="0" w:evenVBand="0" w:oddHBand="0"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6261" w:type="dxa"/>
            <w:tcBorders>
              <w:top w:val="none" w:sz="0" w:space="0" w:color="auto"/>
              <w:left w:val="none" w:sz="0" w:space="0" w:color="auto"/>
              <w:bottom w:val="nil"/>
              <w:right w:val="none" w:sz="0" w:space="0" w:color="auto"/>
            </w:tcBorders>
          </w:tcPr>
          <w:p w14:paraId="0B5F5F02" w14:textId="77777777" w:rsidR="006B6F39" w:rsidRDefault="006B6F39" w:rsidP="00BE002F">
            <w:pPr>
              <w:jc w:val="center"/>
            </w:pPr>
            <w:r>
              <w:t>Description of Documentation</w:t>
            </w:r>
          </w:p>
        </w:tc>
        <w:tc>
          <w:tcPr>
            <w:tcW w:w="3357" w:type="dxa"/>
            <w:tcBorders>
              <w:bottom w:val="nil"/>
            </w:tcBorders>
          </w:tcPr>
          <w:p w14:paraId="6BB9E253" w14:textId="77777777" w:rsidR="006B6F39" w:rsidRDefault="006B6F39" w:rsidP="00BE002F">
            <w:pPr>
              <w:jc w:val="center"/>
              <w:cnfStyle w:val="100000000000" w:firstRow="1" w:lastRow="0" w:firstColumn="0" w:lastColumn="0" w:oddVBand="0" w:evenVBand="0" w:oddHBand="0" w:evenHBand="0" w:firstRowFirstColumn="0" w:firstRowLastColumn="0" w:lastRowFirstColumn="0" w:lastRowLastColumn="0"/>
            </w:pPr>
          </w:p>
        </w:tc>
      </w:tr>
      <w:tr w:rsidR="006B6F39" w14:paraId="06A201E5" w14:textId="77777777" w:rsidTr="002119BE">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6261" w:type="dxa"/>
            <w:tcBorders>
              <w:top w:val="nil"/>
              <w:left w:val="none" w:sz="0" w:space="0" w:color="auto"/>
            </w:tcBorders>
          </w:tcPr>
          <w:p w14:paraId="0075EB06" w14:textId="7B59412F" w:rsidR="006B6F39" w:rsidRPr="009D3838" w:rsidRDefault="00293B8E" w:rsidP="00BE002F">
            <w:pPr>
              <w:rPr>
                <w:sz w:val="20"/>
              </w:rPr>
            </w:pPr>
            <w:r>
              <w:rPr>
                <w:sz w:val="20"/>
              </w:rPr>
              <w:t xml:space="preserve">Climate and Environment Strategy </w:t>
            </w:r>
          </w:p>
        </w:tc>
        <w:tc>
          <w:tcPr>
            <w:tcW w:w="3357" w:type="dxa"/>
            <w:tcBorders>
              <w:top w:val="nil"/>
              <w:left w:val="single" w:sz="8" w:space="0" w:color="2D0054" w:themeColor="accent1"/>
              <w:right w:val="none" w:sz="0" w:space="0" w:color="auto"/>
            </w:tcBorders>
          </w:tcPr>
          <w:p w14:paraId="23DE523C" w14:textId="6DB5538A" w:rsidR="006B6F39" w:rsidRPr="009D3838" w:rsidRDefault="002119BE" w:rsidP="00BE002F">
            <w:pPr>
              <w:cnfStyle w:val="000000100000" w:firstRow="0" w:lastRow="0" w:firstColumn="0" w:lastColumn="0" w:oddVBand="0" w:evenVBand="0" w:oddHBand="1" w:evenHBand="0" w:firstRowFirstColumn="0" w:firstRowLastColumn="0" w:lastRowFirstColumn="0" w:lastRowLastColumn="0"/>
              <w:rPr>
                <w:sz w:val="20"/>
              </w:rPr>
            </w:pPr>
            <w:r>
              <w:rPr>
                <w:sz w:val="20"/>
              </w:rPr>
              <w:t xml:space="preserve">2019 </w:t>
            </w:r>
          </w:p>
        </w:tc>
      </w:tr>
      <w:tr w:rsidR="006B6F39" w14:paraId="0692B4A0" w14:textId="77777777" w:rsidTr="002119BE">
        <w:trPr>
          <w:trHeight w:val="275"/>
        </w:trPr>
        <w:tc>
          <w:tcPr>
            <w:cnfStyle w:val="000010000000" w:firstRow="0" w:lastRow="0" w:firstColumn="0" w:lastColumn="0" w:oddVBand="1" w:evenVBand="0" w:oddHBand="0" w:evenHBand="0" w:firstRowFirstColumn="0" w:firstRowLastColumn="0" w:lastRowFirstColumn="0" w:lastRowLastColumn="0"/>
            <w:tcW w:w="6261" w:type="dxa"/>
            <w:tcBorders>
              <w:top w:val="single" w:sz="8" w:space="0" w:color="2D0054" w:themeColor="accent1"/>
              <w:left w:val="none" w:sz="0" w:space="0" w:color="auto"/>
              <w:bottom w:val="single" w:sz="8" w:space="0" w:color="2D0054" w:themeColor="accent1"/>
            </w:tcBorders>
          </w:tcPr>
          <w:p w14:paraId="2C0D7DF4" w14:textId="487D3537" w:rsidR="006B6F39" w:rsidRPr="009D3838" w:rsidRDefault="00293B8E" w:rsidP="00BE002F">
            <w:pPr>
              <w:rPr>
                <w:sz w:val="20"/>
              </w:rPr>
            </w:pPr>
            <w:r>
              <w:rPr>
                <w:sz w:val="20"/>
              </w:rPr>
              <w:t xml:space="preserve">Climate and Environment Action Plan 2021-30 </w:t>
            </w:r>
          </w:p>
        </w:tc>
        <w:tc>
          <w:tcPr>
            <w:tcW w:w="3357" w:type="dxa"/>
            <w:tcBorders>
              <w:top w:val="single" w:sz="8" w:space="0" w:color="2D0054" w:themeColor="accent1"/>
              <w:left w:val="single" w:sz="8" w:space="0" w:color="2D0054" w:themeColor="accent1"/>
              <w:bottom w:val="single" w:sz="8" w:space="0" w:color="2D0054" w:themeColor="accent1"/>
            </w:tcBorders>
          </w:tcPr>
          <w:p w14:paraId="52E56223" w14:textId="544C5EE6" w:rsidR="006B6F39" w:rsidRPr="009D3838" w:rsidRDefault="002119BE" w:rsidP="00BE002F">
            <w:pPr>
              <w:cnfStyle w:val="000000000000" w:firstRow="0" w:lastRow="0" w:firstColumn="0" w:lastColumn="0" w:oddVBand="0" w:evenVBand="0" w:oddHBand="0" w:evenHBand="0" w:firstRowFirstColumn="0" w:firstRowLastColumn="0" w:lastRowFirstColumn="0" w:lastRowLastColumn="0"/>
              <w:rPr>
                <w:sz w:val="20"/>
              </w:rPr>
            </w:pPr>
            <w:r>
              <w:rPr>
                <w:sz w:val="20"/>
              </w:rPr>
              <w:t>2021 -2030</w:t>
            </w:r>
          </w:p>
        </w:tc>
      </w:tr>
      <w:tr w:rsidR="001977A1" w14:paraId="57D620DD" w14:textId="77777777" w:rsidTr="002119BE">
        <w:trPr>
          <w:cnfStyle w:val="000000100000" w:firstRow="0" w:lastRow="0" w:firstColumn="0" w:lastColumn="0" w:oddVBand="0" w:evenVBand="0" w:oddHBand="1" w:evenHBand="0" w:firstRowFirstColumn="0" w:firstRowLastColumn="0" w:lastRowFirstColumn="0" w:lastRowLastColumn="0"/>
          <w:trHeight w:val="275"/>
        </w:trPr>
        <w:tc>
          <w:tcPr>
            <w:cnfStyle w:val="000010000000" w:firstRow="0" w:lastRow="0" w:firstColumn="0" w:lastColumn="0" w:oddVBand="1" w:evenVBand="0" w:oddHBand="0" w:evenHBand="0" w:firstRowFirstColumn="0" w:firstRowLastColumn="0" w:lastRowFirstColumn="0" w:lastRowLastColumn="0"/>
            <w:tcW w:w="6261" w:type="dxa"/>
            <w:tcBorders>
              <w:left w:val="none" w:sz="0" w:space="0" w:color="auto"/>
            </w:tcBorders>
          </w:tcPr>
          <w:p w14:paraId="484EB2FA" w14:textId="274B6459" w:rsidR="001977A1" w:rsidRPr="009D3838" w:rsidRDefault="002119BE" w:rsidP="00BE002F">
            <w:pPr>
              <w:rPr>
                <w:sz w:val="20"/>
              </w:rPr>
            </w:pPr>
            <w:r>
              <w:rPr>
                <w:sz w:val="20"/>
              </w:rPr>
              <w:t xml:space="preserve">UK local authority and regional CO2 emissions national statistics </w:t>
            </w:r>
          </w:p>
        </w:tc>
        <w:tc>
          <w:tcPr>
            <w:tcW w:w="3357" w:type="dxa"/>
            <w:tcBorders>
              <w:left w:val="single" w:sz="8" w:space="0" w:color="2D0054" w:themeColor="accent1"/>
              <w:right w:val="none" w:sz="0" w:space="0" w:color="auto"/>
            </w:tcBorders>
          </w:tcPr>
          <w:p w14:paraId="07547A01" w14:textId="7A77B73F" w:rsidR="001977A1" w:rsidRPr="009D3838" w:rsidRDefault="002119BE" w:rsidP="00BE002F">
            <w:pPr>
              <w:cnfStyle w:val="000000100000" w:firstRow="0" w:lastRow="0" w:firstColumn="0" w:lastColumn="0" w:oddVBand="0" w:evenVBand="0" w:oddHBand="1" w:evenHBand="0" w:firstRowFirstColumn="0" w:firstRowLastColumn="0" w:lastRowFirstColumn="0" w:lastRowLastColumn="0"/>
              <w:rPr>
                <w:sz w:val="20"/>
              </w:rPr>
            </w:pPr>
            <w:r>
              <w:rPr>
                <w:sz w:val="20"/>
              </w:rPr>
              <w:t>2015 - 2019</w:t>
            </w:r>
          </w:p>
        </w:tc>
      </w:tr>
      <w:tr w:rsidR="001977A1" w14:paraId="5043CB0F" w14:textId="77777777" w:rsidTr="002119BE">
        <w:trPr>
          <w:trHeight w:val="275"/>
        </w:trPr>
        <w:tc>
          <w:tcPr>
            <w:cnfStyle w:val="000010000000" w:firstRow="0" w:lastRow="0" w:firstColumn="0" w:lastColumn="0" w:oddVBand="1" w:evenVBand="0" w:oddHBand="0" w:evenHBand="0" w:firstRowFirstColumn="0" w:firstRowLastColumn="0" w:lastRowFirstColumn="0" w:lastRowLastColumn="0"/>
            <w:tcW w:w="6261" w:type="dxa"/>
            <w:tcBorders>
              <w:top w:val="single" w:sz="8" w:space="0" w:color="2D0054" w:themeColor="accent1"/>
              <w:left w:val="none" w:sz="0" w:space="0" w:color="auto"/>
            </w:tcBorders>
          </w:tcPr>
          <w:p w14:paraId="07459315" w14:textId="77777777" w:rsidR="001977A1" w:rsidRPr="009D3838" w:rsidRDefault="001977A1" w:rsidP="00BE002F">
            <w:pPr>
              <w:rPr>
                <w:sz w:val="20"/>
              </w:rPr>
            </w:pPr>
          </w:p>
        </w:tc>
        <w:tc>
          <w:tcPr>
            <w:tcW w:w="3357" w:type="dxa"/>
            <w:tcBorders>
              <w:top w:val="single" w:sz="8" w:space="0" w:color="2D0054" w:themeColor="accent1"/>
              <w:left w:val="single" w:sz="8" w:space="0" w:color="2D0054" w:themeColor="accent1"/>
              <w:bottom w:val="single" w:sz="8" w:space="0" w:color="2D0054" w:themeColor="accent1"/>
            </w:tcBorders>
          </w:tcPr>
          <w:p w14:paraId="6537F28F" w14:textId="77777777" w:rsidR="001977A1" w:rsidRPr="009D3838" w:rsidRDefault="001977A1" w:rsidP="00BE002F">
            <w:pPr>
              <w:cnfStyle w:val="000000000000" w:firstRow="0" w:lastRow="0" w:firstColumn="0" w:lastColumn="0" w:oddVBand="0" w:evenVBand="0" w:oddHBand="0" w:evenHBand="0" w:firstRowFirstColumn="0" w:firstRowLastColumn="0" w:lastRowFirstColumn="0" w:lastRowLastColumn="0"/>
              <w:rPr>
                <w:sz w:val="20"/>
              </w:rPr>
            </w:pPr>
          </w:p>
        </w:tc>
      </w:tr>
    </w:tbl>
    <w:p w14:paraId="6DFB9E20" w14:textId="77777777" w:rsidR="00537870" w:rsidRDefault="00537870" w:rsidP="00537870"/>
    <w:p w14:paraId="70DF9E56" w14:textId="13C6C9A7" w:rsidR="00E66793" w:rsidRDefault="00E66793" w:rsidP="00537870"/>
    <w:p w14:paraId="7A91115F" w14:textId="2C6AFD97" w:rsidR="0012039B" w:rsidRDefault="0012039B" w:rsidP="0012039B">
      <w:pPr>
        <w:pStyle w:val="Heading1"/>
      </w:pPr>
      <w:bookmarkStart w:id="4" w:name="_Toc105427807"/>
      <w:r>
        <w:lastRenderedPageBreak/>
        <w:t>Executive Summary.</w:t>
      </w:r>
      <w:bookmarkEnd w:id="4"/>
    </w:p>
    <w:p w14:paraId="41C09B2F" w14:textId="6FD90AFA" w:rsidR="0012039B" w:rsidRDefault="0012039B" w:rsidP="00B54B54">
      <w:pPr>
        <w:jc w:val="both"/>
      </w:pPr>
      <w:r>
        <w:t>Carbon emissions are a direct result of energy consumption</w:t>
      </w:r>
      <w:r w:rsidR="00323BBF">
        <w:t>. S</w:t>
      </w:r>
      <w:r>
        <w:t xml:space="preserve">o, any reduction in carbon emissions not only supports </w:t>
      </w:r>
      <w:r w:rsidR="00323BBF">
        <w:t>South Derbyshire District Council’s</w:t>
      </w:r>
      <w:r>
        <w:t xml:space="preserve"> </w:t>
      </w:r>
      <w:r w:rsidR="00D123E9">
        <w:t xml:space="preserve">(SDDC) </w:t>
      </w:r>
      <w:r>
        <w:t>carbon neutral commitments</w:t>
      </w:r>
      <w:r w:rsidR="00D8648E">
        <w:t xml:space="preserve"> and resilience to climate change, </w:t>
      </w:r>
      <w:r>
        <w:t>but also reduces its energy consumption</w:t>
      </w:r>
      <w:r w:rsidR="005E579A">
        <w:t>. I</w:t>
      </w:r>
      <w:r>
        <w:t xml:space="preserve">n terms of the current energy price rises </w:t>
      </w:r>
      <w:r w:rsidR="005E579A">
        <w:t xml:space="preserve">this </w:t>
      </w:r>
      <w:r w:rsidR="00D8648E">
        <w:t xml:space="preserve">could be </w:t>
      </w:r>
      <w:r>
        <w:t>a significant co-benefi</w:t>
      </w:r>
      <w:r w:rsidR="00D8648E">
        <w:t xml:space="preserve">t to </w:t>
      </w:r>
      <w:r w:rsidR="005E579A">
        <w:t xml:space="preserve">reducing </w:t>
      </w:r>
      <w:r w:rsidR="00D8648E">
        <w:t>the Council</w:t>
      </w:r>
      <w:r w:rsidR="005E579A">
        <w:t>’</w:t>
      </w:r>
      <w:r w:rsidR="00D8648E">
        <w:t xml:space="preserve">s operational running costs. </w:t>
      </w:r>
    </w:p>
    <w:p w14:paraId="0BAFD326" w14:textId="0AD2D7A3" w:rsidR="0012039B" w:rsidRDefault="0012039B" w:rsidP="00B54B54">
      <w:pPr>
        <w:jc w:val="both"/>
      </w:pPr>
      <w:r>
        <w:t xml:space="preserve">This </w:t>
      </w:r>
      <w:r w:rsidR="005E579A">
        <w:t>C</w:t>
      </w:r>
      <w:r>
        <w:t xml:space="preserve">arbon </w:t>
      </w:r>
      <w:r w:rsidR="005E579A">
        <w:t>Reduction R</w:t>
      </w:r>
      <w:r>
        <w:t xml:space="preserve">eport is the first of its kind for </w:t>
      </w:r>
      <w:r w:rsidR="007B769B">
        <w:t>SDDC</w:t>
      </w:r>
      <w:r w:rsidR="00323BBF">
        <w:t>. It</w:t>
      </w:r>
      <w:r>
        <w:t xml:space="preserve"> illustrates the main carbon emission sources of both the Council and </w:t>
      </w:r>
      <w:r w:rsidR="00323BBF">
        <w:t xml:space="preserve">across the area of </w:t>
      </w:r>
      <w:r>
        <w:t xml:space="preserve">South Derbyshire and their current trends. </w:t>
      </w:r>
    </w:p>
    <w:p w14:paraId="26ED67DA" w14:textId="0601CFA2" w:rsidR="0012039B" w:rsidRDefault="0012039B" w:rsidP="00B54B54">
      <w:pPr>
        <w:jc w:val="both"/>
      </w:pPr>
      <w:r>
        <w:t xml:space="preserve">The aim of the report is to highlight </w:t>
      </w:r>
      <w:r w:rsidR="007B769B">
        <w:t>these carbon emission trends,</w:t>
      </w:r>
      <w:r w:rsidR="00D8648E">
        <w:t xml:space="preserve"> analyse and compare them with prior years</w:t>
      </w:r>
      <w:r w:rsidR="00322F81">
        <w:t>, to use this analysis to</w:t>
      </w:r>
      <w:r w:rsidR="00D604A2">
        <w:t xml:space="preserve"> </w:t>
      </w:r>
      <w:r w:rsidR="007B769B">
        <w:t>understand the effectiveness of the SDD</w:t>
      </w:r>
      <w:r w:rsidR="00323BBF">
        <w:t>C</w:t>
      </w:r>
      <w:r w:rsidR="007B769B">
        <w:t xml:space="preserve"> Climate and Environment Action Plan (2021-30) and the progress the Council is making towards its carbon neutral targets. </w:t>
      </w:r>
    </w:p>
    <w:p w14:paraId="2F3FD901" w14:textId="75FE598B" w:rsidR="00D604A2" w:rsidRDefault="00322F81" w:rsidP="00B54B54">
      <w:pPr>
        <w:jc w:val="both"/>
      </w:pPr>
      <w:r>
        <w:t xml:space="preserve">The report details how </w:t>
      </w:r>
      <w:r w:rsidR="00D604A2">
        <w:t xml:space="preserve">carbon emissions </w:t>
      </w:r>
      <w:r w:rsidR="006562AE">
        <w:t>resulting from the Council</w:t>
      </w:r>
      <w:r w:rsidR="0005129C">
        <w:t>’</w:t>
      </w:r>
      <w:r w:rsidR="006562AE">
        <w:t xml:space="preserve">s energy consumption </w:t>
      </w:r>
      <w:r w:rsidR="00D604A2">
        <w:t>have reduced year on yea</w:t>
      </w:r>
      <w:r>
        <w:t xml:space="preserve">r, showing </w:t>
      </w:r>
      <w:r w:rsidR="00D604A2">
        <w:t>the latest 2021/22 emissions are 21.5% lower than</w:t>
      </w:r>
      <w:r>
        <w:t xml:space="preserve"> the Council</w:t>
      </w:r>
      <w:r w:rsidR="00D123E9">
        <w:t>’</w:t>
      </w:r>
      <w:r>
        <w:t>s</w:t>
      </w:r>
      <w:r w:rsidR="00D604A2">
        <w:t xml:space="preserve"> 2018/19</w:t>
      </w:r>
      <w:r w:rsidR="006562AE">
        <w:t xml:space="preserve"> carbon emission baseline set out in the Climate and Environment Action Plan</w:t>
      </w:r>
      <w:r>
        <w:t>.</w:t>
      </w:r>
      <w:r w:rsidR="006562AE">
        <w:t xml:space="preserve"> </w:t>
      </w:r>
    </w:p>
    <w:p w14:paraId="6B473333" w14:textId="27A459B6" w:rsidR="00794BE3" w:rsidRDefault="00794BE3" w:rsidP="00B54B54">
      <w:pPr>
        <w:jc w:val="both"/>
      </w:pPr>
      <w:r>
        <w:t>The</w:t>
      </w:r>
      <w:r w:rsidR="00322F81">
        <w:t xml:space="preserve"> report illustrates the </w:t>
      </w:r>
      <w:r>
        <w:t>impact of Covid19 a</w:t>
      </w:r>
      <w:r w:rsidR="00322F81">
        <w:t xml:space="preserve">nd </w:t>
      </w:r>
      <w:r>
        <w:t xml:space="preserve">the lockdowns over the last two years as some of the main energy consuming areas such as the leisure centres were closed. These closures, along with increased working from home resulted in reduced energy consumption </w:t>
      </w:r>
      <w:r w:rsidR="00AF370A">
        <w:t xml:space="preserve">and the </w:t>
      </w:r>
      <w:r w:rsidR="00322F81">
        <w:t xml:space="preserve">consequent </w:t>
      </w:r>
      <w:r w:rsidR="00AF370A">
        <w:t xml:space="preserve">reduction in carbon emissions. </w:t>
      </w:r>
    </w:p>
    <w:p w14:paraId="5805795D" w14:textId="3091C286" w:rsidR="006562AE" w:rsidRDefault="006562AE" w:rsidP="00B54B54">
      <w:pPr>
        <w:jc w:val="both"/>
      </w:pPr>
      <w:r>
        <w:t>In a similar trend, th</w:t>
      </w:r>
      <w:r w:rsidR="00322F81">
        <w:t xml:space="preserve">is Report details that the </w:t>
      </w:r>
      <w:r>
        <w:t>carbon emissions across the South Derbyshire District are reducing as well</w:t>
      </w:r>
      <w:r w:rsidR="0005129C">
        <w:t>,</w:t>
      </w:r>
      <w:r>
        <w:t xml:space="preserve"> by just over 4% from the 2018/19 baseline. </w:t>
      </w:r>
    </w:p>
    <w:p w14:paraId="1AF1CFA5" w14:textId="0B69A025" w:rsidR="000C6499" w:rsidRDefault="003D0ECC" w:rsidP="00B54B54">
      <w:pPr>
        <w:jc w:val="both"/>
      </w:pPr>
      <w:r>
        <w:t xml:space="preserve">Even though carbon emissions are </w:t>
      </w:r>
      <w:r w:rsidR="00323BBF">
        <w:t xml:space="preserve">currently </w:t>
      </w:r>
      <w:r>
        <w:t xml:space="preserve">reducing </w:t>
      </w:r>
      <w:r w:rsidRPr="00323BBF">
        <w:t>in line with</w:t>
      </w:r>
      <w:r>
        <w:t xml:space="preserve"> the Council’s Climate and Environment Action Plan, this</w:t>
      </w:r>
      <w:r w:rsidR="006562AE">
        <w:t xml:space="preserve"> report </w:t>
      </w:r>
      <w:r w:rsidR="0078702A">
        <w:t>s</w:t>
      </w:r>
      <w:r w:rsidR="006562AE">
        <w:t>how</w:t>
      </w:r>
      <w:r w:rsidR="0078702A">
        <w:t>s</w:t>
      </w:r>
      <w:r w:rsidR="006562AE">
        <w:t xml:space="preserve"> the scale of the challenge</w:t>
      </w:r>
      <w:r w:rsidR="00533339">
        <w:t xml:space="preserve">. </w:t>
      </w:r>
      <w:r w:rsidR="00323BBF">
        <w:t>It i</w:t>
      </w:r>
      <w:r w:rsidR="000C6499">
        <w:t>dentif</w:t>
      </w:r>
      <w:r w:rsidR="00323BBF">
        <w:t>ies</w:t>
      </w:r>
      <w:r w:rsidR="000C6499">
        <w:t xml:space="preserve"> the </w:t>
      </w:r>
      <w:r w:rsidR="0005129C">
        <w:t>v</w:t>
      </w:r>
      <w:r w:rsidR="000C6499">
        <w:t xml:space="preserve">ehicle </w:t>
      </w:r>
      <w:r w:rsidR="0005129C">
        <w:t>f</w:t>
      </w:r>
      <w:r w:rsidR="000C6499">
        <w:t xml:space="preserve">leet and </w:t>
      </w:r>
      <w:r w:rsidR="00323BBF">
        <w:t>two le</w:t>
      </w:r>
      <w:r w:rsidR="000C6499">
        <w:t xml:space="preserve">isure </w:t>
      </w:r>
      <w:r w:rsidR="00323BBF">
        <w:t>c</w:t>
      </w:r>
      <w:r w:rsidR="000C6499">
        <w:t>entres as high</w:t>
      </w:r>
      <w:r w:rsidR="00533339">
        <w:t>est</w:t>
      </w:r>
      <w:r w:rsidR="000C6499">
        <w:t xml:space="preserve"> energy consum</w:t>
      </w:r>
      <w:r w:rsidR="00533339">
        <w:t>ers</w:t>
      </w:r>
      <w:r w:rsidR="0005505E">
        <w:t>. C</w:t>
      </w:r>
      <w:r w:rsidR="000C6499">
        <w:t>onsequently</w:t>
      </w:r>
      <w:r w:rsidR="00D123E9">
        <w:t>,</w:t>
      </w:r>
      <w:r w:rsidR="000C6499">
        <w:t xml:space="preserve"> </w:t>
      </w:r>
      <w:r w:rsidR="0005505E">
        <w:t xml:space="preserve">these are the most </w:t>
      </w:r>
      <w:r w:rsidR="000C6499">
        <w:t xml:space="preserve">significant carbon emitters that </w:t>
      </w:r>
      <w:r w:rsidR="00533339">
        <w:t>must</w:t>
      </w:r>
      <w:r w:rsidR="000C6499">
        <w:t xml:space="preserve"> be tackled</w:t>
      </w:r>
      <w:r w:rsidR="00533339">
        <w:t xml:space="preserve"> for the Council to deliver carbon neutrality, pointing out the co-benefit that reducing energy consumption has on the operational running costs of the Council in the current high priced energy market. </w:t>
      </w:r>
      <w:r w:rsidR="00D123E9">
        <w:t xml:space="preserve">  </w:t>
      </w:r>
    </w:p>
    <w:p w14:paraId="49BEC19B" w14:textId="68450DE4" w:rsidR="0005129C" w:rsidRDefault="003D0ECC" w:rsidP="00877061">
      <w:pPr>
        <w:jc w:val="both"/>
      </w:pPr>
      <w:r>
        <w:t>Understanding the current carbon emission trends, the report</w:t>
      </w:r>
      <w:r w:rsidR="0078702A">
        <w:t xml:space="preserve"> summarise</w:t>
      </w:r>
      <w:r>
        <w:t xml:space="preserve">s </w:t>
      </w:r>
      <w:r w:rsidR="0078702A">
        <w:t>recommendations for the next steps that should be included in the annual review of the Climate and Environment Action Plan to increase its effectiveness</w:t>
      </w:r>
      <w:r>
        <w:t xml:space="preserve"> of the Council</w:t>
      </w:r>
      <w:r w:rsidR="00D123E9">
        <w:t>’</w:t>
      </w:r>
      <w:r>
        <w:t>s decarbonisation actions</w:t>
      </w:r>
      <w:r w:rsidR="00AF370A">
        <w:t xml:space="preserve"> and to support SDDC’s reduction in energy consumption.</w:t>
      </w:r>
    </w:p>
    <w:p w14:paraId="5172843D" w14:textId="2A9E44C8" w:rsidR="007345BD" w:rsidRDefault="007345BD" w:rsidP="007345BD">
      <w:pPr>
        <w:pStyle w:val="Heading1"/>
        <w:numPr>
          <w:ilvl w:val="0"/>
          <w:numId w:val="22"/>
        </w:numPr>
      </w:pPr>
      <w:bookmarkStart w:id="5" w:name="_Toc105427808"/>
      <w:r>
        <w:t>Context</w:t>
      </w:r>
      <w:bookmarkEnd w:id="5"/>
      <w:r>
        <w:t xml:space="preserve"> </w:t>
      </w:r>
    </w:p>
    <w:p w14:paraId="50E16EC1" w14:textId="77777777" w:rsidR="00137172" w:rsidRDefault="007345BD" w:rsidP="0005129C">
      <w:pPr>
        <w:jc w:val="both"/>
      </w:pPr>
      <w:r>
        <w:t>South Derbyshire District Council (SDDC) has a key</w:t>
      </w:r>
      <w:r w:rsidR="00AD0636">
        <w:t xml:space="preserve"> leadership</w:t>
      </w:r>
      <w:r>
        <w:t xml:space="preserve"> role to play in tackling climate change by reducing carbon emissions </w:t>
      </w:r>
      <w:r w:rsidR="00293B8E">
        <w:t xml:space="preserve">(tCO2e) </w:t>
      </w:r>
      <w:r>
        <w:t xml:space="preserve">from </w:t>
      </w:r>
      <w:r w:rsidR="00293B8E">
        <w:t>its</w:t>
      </w:r>
      <w:r>
        <w:t xml:space="preserve"> </w:t>
      </w:r>
      <w:r w:rsidR="00586930">
        <w:t>i</w:t>
      </w:r>
      <w:r>
        <w:t>n-house services</w:t>
      </w:r>
      <w:r w:rsidR="00293B8E">
        <w:t xml:space="preserve"> </w:t>
      </w:r>
      <w:r w:rsidR="00297A40">
        <w:t xml:space="preserve">(those the Council controls) </w:t>
      </w:r>
      <w:r w:rsidR="00293B8E">
        <w:t xml:space="preserve">and by </w:t>
      </w:r>
      <w:r>
        <w:t xml:space="preserve">working with others to lower </w:t>
      </w:r>
      <w:r w:rsidR="00293B8E">
        <w:t xml:space="preserve">carbon </w:t>
      </w:r>
      <w:r>
        <w:t>emissions</w:t>
      </w:r>
      <w:r w:rsidR="00B67A23">
        <w:t xml:space="preserve"> district-wide </w:t>
      </w:r>
      <w:r w:rsidR="00586930">
        <w:t xml:space="preserve">across the whole of South Derbyshire. </w:t>
      </w:r>
      <w:r w:rsidR="00B67A23">
        <w:t xml:space="preserve"> </w:t>
      </w:r>
    </w:p>
    <w:p w14:paraId="2B569F95" w14:textId="267EF585" w:rsidR="00B67A23" w:rsidRDefault="00AD0636" w:rsidP="00B54B54">
      <w:pPr>
        <w:jc w:val="both"/>
      </w:pPr>
      <w:r>
        <w:t>The Council</w:t>
      </w:r>
      <w:r w:rsidR="00B67A23">
        <w:t xml:space="preserve"> has </w:t>
      </w:r>
      <w:r w:rsidR="007865DD">
        <w:t xml:space="preserve">set out </w:t>
      </w:r>
      <w:r w:rsidR="00B67A23">
        <w:t xml:space="preserve">clear </w:t>
      </w:r>
      <w:r w:rsidR="007865DD">
        <w:t xml:space="preserve">and transparent aspirations and </w:t>
      </w:r>
      <w:r w:rsidR="00B67A23">
        <w:t>commitments</w:t>
      </w:r>
      <w:r w:rsidR="001E67A9">
        <w:t xml:space="preserve"> to tackle climate change</w:t>
      </w:r>
      <w:r w:rsidR="00137172">
        <w:t xml:space="preserve"> by</w:t>
      </w:r>
      <w:r w:rsidR="001E67A9">
        <w:t>:</w:t>
      </w:r>
    </w:p>
    <w:p w14:paraId="79FBFD0B" w14:textId="55A72F67" w:rsidR="001E67A9" w:rsidRDefault="00586930" w:rsidP="0005129C">
      <w:pPr>
        <w:pStyle w:val="ListParagraph"/>
        <w:numPr>
          <w:ilvl w:val="0"/>
          <w:numId w:val="23"/>
        </w:numPr>
        <w:jc w:val="both"/>
      </w:pPr>
      <w:r>
        <w:t>D</w:t>
      </w:r>
      <w:r w:rsidR="001E67A9">
        <w:t>eclar</w:t>
      </w:r>
      <w:r>
        <w:t xml:space="preserve">ing </w:t>
      </w:r>
      <w:r w:rsidR="001E67A9">
        <w:t xml:space="preserve">a climate emergency and </w:t>
      </w:r>
      <w:r>
        <w:t>commitment</w:t>
      </w:r>
      <w:r w:rsidR="001E67A9">
        <w:t xml:space="preserve"> to </w:t>
      </w:r>
      <w:r w:rsidR="0005505E">
        <w:t xml:space="preserve">strive to </w:t>
      </w:r>
      <w:r w:rsidR="001E67A9">
        <w:t xml:space="preserve">reduce in-house emissions to carbon neutral by 2030 and </w:t>
      </w:r>
      <w:r w:rsidR="00D123E9">
        <w:t>D</w:t>
      </w:r>
      <w:r w:rsidR="001E67A9">
        <w:t xml:space="preserve">istrict-wide emissions </w:t>
      </w:r>
      <w:r w:rsidR="0005505E">
        <w:t xml:space="preserve">to carbon neutral </w:t>
      </w:r>
      <w:r w:rsidR="001E67A9">
        <w:t xml:space="preserve">by 2050. </w:t>
      </w:r>
    </w:p>
    <w:p w14:paraId="7738AA1B" w14:textId="19C63611" w:rsidR="00137172" w:rsidRPr="00137172" w:rsidRDefault="00137172" w:rsidP="00137172">
      <w:pPr>
        <w:pStyle w:val="ListParagraph"/>
        <w:numPr>
          <w:ilvl w:val="0"/>
          <w:numId w:val="23"/>
        </w:numPr>
      </w:pPr>
      <w:r>
        <w:t xml:space="preserve">Publishing </w:t>
      </w:r>
      <w:r w:rsidRPr="00137172">
        <w:t>a Climate and Environment Strategy in 2019.</w:t>
      </w:r>
    </w:p>
    <w:p w14:paraId="5510B2FB" w14:textId="5D8B0A60" w:rsidR="00B86102" w:rsidRDefault="00586930" w:rsidP="00B54B54">
      <w:pPr>
        <w:pStyle w:val="ListParagraph"/>
        <w:numPr>
          <w:ilvl w:val="0"/>
          <w:numId w:val="23"/>
        </w:numPr>
        <w:jc w:val="both"/>
      </w:pPr>
      <w:r>
        <w:lastRenderedPageBreak/>
        <w:t>P</w:t>
      </w:r>
      <w:r w:rsidR="00B86102">
        <w:t>ublish</w:t>
      </w:r>
      <w:r>
        <w:t>ing</w:t>
      </w:r>
      <w:r w:rsidR="00B86102">
        <w:t xml:space="preserve"> a </w:t>
      </w:r>
      <w:r w:rsidR="007865DD">
        <w:t xml:space="preserve">full </w:t>
      </w:r>
      <w:r w:rsidR="00B86102">
        <w:t xml:space="preserve">Climate and Environment Action Plan </w:t>
      </w:r>
      <w:r w:rsidR="007865DD">
        <w:t>(</w:t>
      </w:r>
      <w:r w:rsidR="00B86102">
        <w:t>2021–30</w:t>
      </w:r>
      <w:r w:rsidR="007865DD">
        <w:t>)</w:t>
      </w:r>
      <w:r w:rsidR="00B86102">
        <w:t xml:space="preserve"> </w:t>
      </w:r>
      <w:r w:rsidR="007865DD">
        <w:t xml:space="preserve">and an associated carbon neutral pathway to 2030. </w:t>
      </w:r>
    </w:p>
    <w:p w14:paraId="459D4811" w14:textId="77777777" w:rsidR="00297A40" w:rsidRDefault="00586930" w:rsidP="00B54B54">
      <w:pPr>
        <w:pStyle w:val="ListParagraph"/>
        <w:numPr>
          <w:ilvl w:val="0"/>
          <w:numId w:val="23"/>
        </w:numPr>
        <w:jc w:val="both"/>
      </w:pPr>
      <w:r>
        <w:t>L</w:t>
      </w:r>
      <w:r w:rsidR="00E17AC3">
        <w:t>aunch</w:t>
      </w:r>
      <w:r>
        <w:t xml:space="preserve">ing </w:t>
      </w:r>
      <w:r w:rsidR="00E17AC3">
        <w:t>a Performance Management Programme for ensuring the delivery of the Climate and Environment Action Pla</w:t>
      </w:r>
      <w:r w:rsidR="00297A40">
        <w:t xml:space="preserve">n. </w:t>
      </w:r>
    </w:p>
    <w:p w14:paraId="18646AB2" w14:textId="5FA9FE2D" w:rsidR="00E17AC3" w:rsidRDefault="00AD0636" w:rsidP="00B54B54">
      <w:pPr>
        <w:jc w:val="both"/>
      </w:pPr>
      <w:r>
        <w:t xml:space="preserve">As part of these commitments, SDDC </w:t>
      </w:r>
      <w:r w:rsidR="00297A40">
        <w:t>has been collating its in-house carbon emissions since developing its Climate and Environment Strategy in 2019</w:t>
      </w:r>
      <w:r>
        <w:t xml:space="preserve">. The </w:t>
      </w:r>
      <w:r w:rsidR="00E45DED">
        <w:t xml:space="preserve">2018/19 annual carbon emissions form the emission baseline, </w:t>
      </w:r>
      <w:r w:rsidR="00137172">
        <w:t xml:space="preserve">upon </w:t>
      </w:r>
      <w:r w:rsidR="00E45DED">
        <w:t xml:space="preserve">which any emission reductions resulting from the progress of delivering the Climate and Environment Action Plan (2021-30) are based. </w:t>
      </w:r>
    </w:p>
    <w:p w14:paraId="6C24808E" w14:textId="09D25C30" w:rsidR="00E9435D" w:rsidRDefault="00E9435D" w:rsidP="00B54B54">
      <w:pPr>
        <w:jc w:val="both"/>
      </w:pPr>
      <w:r>
        <w:t xml:space="preserve">The South Derbyshire </w:t>
      </w:r>
      <w:r w:rsidR="00D123E9">
        <w:t>D</w:t>
      </w:r>
      <w:r>
        <w:t xml:space="preserve">istrict-wide carbon emissions </w:t>
      </w:r>
      <w:r w:rsidR="00172E31">
        <w:t>are obtained from the UK Government</w:t>
      </w:r>
      <w:r w:rsidR="00D123E9">
        <w:t>’</w:t>
      </w:r>
      <w:r w:rsidR="00172E31">
        <w:t xml:space="preserve">s National Statistics that were last published in 2021 for the 2005 to 2019 period. These are also </w:t>
      </w:r>
      <w:r w:rsidR="00137172">
        <w:t xml:space="preserve">contained </w:t>
      </w:r>
      <w:r w:rsidR="00172E31">
        <w:t xml:space="preserve">in this report to illustrate the district-wide </w:t>
      </w:r>
      <w:r w:rsidR="002119BE">
        <w:t xml:space="preserve">progress in carbon emission reductions as well as the scale of the future challenges to deliver carbon neutrality. </w:t>
      </w:r>
    </w:p>
    <w:p w14:paraId="46DBB2B7" w14:textId="66CBE2FD" w:rsidR="00E17AC3" w:rsidRDefault="00E17AC3" w:rsidP="00B54B54">
      <w:pPr>
        <w:pStyle w:val="Heading1"/>
        <w:numPr>
          <w:ilvl w:val="0"/>
          <w:numId w:val="22"/>
        </w:numPr>
        <w:jc w:val="both"/>
      </w:pPr>
      <w:bookmarkStart w:id="6" w:name="_Toc105427809"/>
      <w:r>
        <w:t>Introduction</w:t>
      </w:r>
      <w:bookmarkEnd w:id="6"/>
    </w:p>
    <w:p w14:paraId="36CFEC5C" w14:textId="48DA3E97" w:rsidR="00E17AC3" w:rsidRDefault="005C2A5D" w:rsidP="00B54B54">
      <w:pPr>
        <w:jc w:val="both"/>
      </w:pPr>
      <w:r>
        <w:t xml:space="preserve">This </w:t>
      </w:r>
      <w:r w:rsidR="00AD0636">
        <w:t xml:space="preserve">first </w:t>
      </w:r>
      <w:r w:rsidR="00E45DED">
        <w:t xml:space="preserve">SDDC </w:t>
      </w:r>
      <w:r>
        <w:t xml:space="preserve">Annual Carbon </w:t>
      </w:r>
      <w:r w:rsidR="00137172">
        <w:t>Reduction Progress</w:t>
      </w:r>
      <w:r>
        <w:t xml:space="preserve"> Report (2021/22)</w:t>
      </w:r>
      <w:r w:rsidR="00E9435D">
        <w:t xml:space="preserve"> </w:t>
      </w:r>
      <w:r>
        <w:t xml:space="preserve">details the </w:t>
      </w:r>
      <w:r w:rsidR="00D123E9">
        <w:t xml:space="preserve">Council’s </w:t>
      </w:r>
      <w:r w:rsidR="00186A54">
        <w:t xml:space="preserve">annual </w:t>
      </w:r>
      <w:r>
        <w:t>in-house carbon emissions</w:t>
      </w:r>
      <w:r w:rsidR="00E9435D">
        <w:t xml:space="preserve"> resulting from </w:t>
      </w:r>
      <w:r w:rsidR="005B17A4">
        <w:t>its energy</w:t>
      </w:r>
      <w:r w:rsidR="00E9435D">
        <w:t xml:space="preserve"> consumption</w:t>
      </w:r>
      <w:r w:rsidR="00137172">
        <w:t xml:space="preserve">. It </w:t>
      </w:r>
      <w:r w:rsidR="00186A54">
        <w:t>analys</w:t>
      </w:r>
      <w:r w:rsidR="00137172">
        <w:t>es</w:t>
      </w:r>
      <w:r w:rsidR="00186A54">
        <w:t xml:space="preserve"> and </w:t>
      </w:r>
      <w:r w:rsidR="00E9435D">
        <w:t>compar</w:t>
      </w:r>
      <w:r w:rsidR="00137172">
        <w:t xml:space="preserve">es </w:t>
      </w:r>
      <w:r w:rsidR="00E9435D">
        <w:t>these with the 2018/19 emission baseline and subsequent years</w:t>
      </w:r>
      <w:r w:rsidR="00137172">
        <w:t xml:space="preserve"> and </w:t>
      </w:r>
      <w:r w:rsidR="00E9435D">
        <w:t>detail</w:t>
      </w:r>
      <w:r w:rsidR="00137172">
        <w:t>s</w:t>
      </w:r>
      <w:r w:rsidR="00E9435D">
        <w:t xml:space="preserve"> the </w:t>
      </w:r>
      <w:r w:rsidR="0018761C">
        <w:t xml:space="preserve">progress </w:t>
      </w:r>
      <w:r w:rsidR="00D123E9">
        <w:t>the Council is</w:t>
      </w:r>
      <w:r w:rsidR="0018761C">
        <w:t xml:space="preserve"> making</w:t>
      </w:r>
      <w:r w:rsidR="00E9435D">
        <w:t xml:space="preserve"> towards </w:t>
      </w:r>
      <w:r w:rsidR="00D123E9">
        <w:t>its</w:t>
      </w:r>
      <w:r w:rsidR="00E9435D">
        <w:t xml:space="preserve"> carbon neutral targets. </w:t>
      </w:r>
      <w:r w:rsidR="0018761C">
        <w:t xml:space="preserve"> </w:t>
      </w:r>
    </w:p>
    <w:p w14:paraId="6A559A29" w14:textId="26F72788" w:rsidR="001E096D" w:rsidRDefault="002119BE">
      <w:pPr>
        <w:jc w:val="both"/>
      </w:pPr>
      <w:r>
        <w:t>In line</w:t>
      </w:r>
      <w:r w:rsidR="001E096D">
        <w:t xml:space="preserve"> </w:t>
      </w:r>
      <w:r w:rsidR="00DE60A9">
        <w:t xml:space="preserve">with </w:t>
      </w:r>
      <w:r w:rsidR="00D123E9">
        <w:t>the Department for Business, Energy and Industrial Strategy (</w:t>
      </w:r>
      <w:r w:rsidR="00DE60A9">
        <w:t>BEIS</w:t>
      </w:r>
      <w:r w:rsidR="00D123E9">
        <w:t>)</w:t>
      </w:r>
      <w:r w:rsidR="00DE60A9">
        <w:t xml:space="preserve"> (2020) </w:t>
      </w:r>
      <w:r>
        <w:t xml:space="preserve">reporting </w:t>
      </w:r>
      <w:r w:rsidR="00DE60A9">
        <w:t>guidance</w:t>
      </w:r>
      <w:r>
        <w:t xml:space="preserve">, </w:t>
      </w:r>
      <w:r w:rsidR="00521C00">
        <w:t xml:space="preserve">Council in-house </w:t>
      </w:r>
      <w:r w:rsidR="00DE60A9">
        <w:t>carbon emission</w:t>
      </w:r>
      <w:r>
        <w:t xml:space="preserve">s are </w:t>
      </w:r>
      <w:r w:rsidR="00DE60A9">
        <w:t>categorised into Scope 1, Scope 2 or Scope 3</w:t>
      </w:r>
      <w:r w:rsidR="00FE5946">
        <w:t xml:space="preserve"> emissions</w:t>
      </w:r>
      <w:r w:rsidR="00DE60A9">
        <w:t xml:space="preserve">, as detailed </w:t>
      </w:r>
      <w:r w:rsidR="0005505E">
        <w:t xml:space="preserve">in Table 1 </w:t>
      </w:r>
      <w:r w:rsidR="00DE60A9">
        <w:t>below:</w:t>
      </w:r>
    </w:p>
    <w:p w14:paraId="1715BFAE" w14:textId="51967BB8" w:rsidR="0005505E" w:rsidRPr="00B54B54" w:rsidRDefault="0005505E" w:rsidP="00B54B54">
      <w:pPr>
        <w:spacing w:after="0"/>
        <w:jc w:val="both"/>
        <w:rPr>
          <w:b/>
          <w:bCs/>
        </w:rPr>
      </w:pPr>
      <w:r w:rsidRPr="00B54B54">
        <w:rPr>
          <w:b/>
          <w:bCs/>
        </w:rPr>
        <w:t>Table 1: Definition of Scope 1, 2 and 3 Emissions</w:t>
      </w:r>
    </w:p>
    <w:tbl>
      <w:tblPr>
        <w:tblStyle w:val="TableGrid"/>
        <w:tblW w:w="0" w:type="auto"/>
        <w:tblLook w:val="04A0" w:firstRow="1" w:lastRow="0" w:firstColumn="1" w:lastColumn="0" w:noHBand="0" w:noVBand="1"/>
      </w:tblPr>
      <w:tblGrid>
        <w:gridCol w:w="1271"/>
        <w:gridCol w:w="2268"/>
        <w:gridCol w:w="6197"/>
      </w:tblGrid>
      <w:tr w:rsidR="00DE60A9" w14:paraId="410BAB8B" w14:textId="77777777" w:rsidTr="00521C00">
        <w:tc>
          <w:tcPr>
            <w:tcW w:w="1271" w:type="dxa"/>
            <w:shd w:val="clear" w:color="auto" w:fill="D9D9D9" w:themeFill="background1" w:themeFillShade="D9"/>
          </w:tcPr>
          <w:p w14:paraId="6CD8C18B" w14:textId="3FD0EE27" w:rsidR="00DE60A9" w:rsidRPr="000F3E4A" w:rsidRDefault="00DE60A9" w:rsidP="00E17AC3">
            <w:pPr>
              <w:rPr>
                <w:b/>
                <w:bCs/>
              </w:rPr>
            </w:pPr>
            <w:r w:rsidRPr="000F3E4A">
              <w:rPr>
                <w:b/>
                <w:bCs/>
              </w:rPr>
              <w:t>Category</w:t>
            </w:r>
          </w:p>
        </w:tc>
        <w:tc>
          <w:tcPr>
            <w:tcW w:w="2268" w:type="dxa"/>
            <w:shd w:val="clear" w:color="auto" w:fill="D9D9D9" w:themeFill="background1" w:themeFillShade="D9"/>
          </w:tcPr>
          <w:p w14:paraId="5285D633" w14:textId="55A0A8E9" w:rsidR="00DE60A9" w:rsidRPr="000F3E4A" w:rsidRDefault="00DE60A9" w:rsidP="00E17AC3">
            <w:pPr>
              <w:rPr>
                <w:b/>
                <w:bCs/>
              </w:rPr>
            </w:pPr>
            <w:r w:rsidRPr="000F3E4A">
              <w:rPr>
                <w:b/>
                <w:bCs/>
              </w:rPr>
              <w:t xml:space="preserve">Description </w:t>
            </w:r>
          </w:p>
        </w:tc>
        <w:tc>
          <w:tcPr>
            <w:tcW w:w="6197" w:type="dxa"/>
            <w:shd w:val="clear" w:color="auto" w:fill="D9D9D9" w:themeFill="background1" w:themeFillShade="D9"/>
          </w:tcPr>
          <w:p w14:paraId="73774129" w14:textId="2A80974A" w:rsidR="00DE60A9" w:rsidRPr="000F3E4A" w:rsidRDefault="00DE60A9" w:rsidP="00E17AC3">
            <w:pPr>
              <w:rPr>
                <w:b/>
                <w:bCs/>
              </w:rPr>
            </w:pPr>
            <w:r w:rsidRPr="000F3E4A">
              <w:rPr>
                <w:b/>
                <w:bCs/>
              </w:rPr>
              <w:t>Energy consumption source</w:t>
            </w:r>
          </w:p>
        </w:tc>
      </w:tr>
      <w:tr w:rsidR="00DE60A9" w14:paraId="5926FA30" w14:textId="77777777" w:rsidTr="00521C00">
        <w:tc>
          <w:tcPr>
            <w:tcW w:w="1271" w:type="dxa"/>
          </w:tcPr>
          <w:p w14:paraId="77C0D1D4" w14:textId="49B352A9" w:rsidR="00DE60A9" w:rsidRDefault="00DE60A9" w:rsidP="00E17AC3">
            <w:r>
              <w:t>Scope 1</w:t>
            </w:r>
          </w:p>
        </w:tc>
        <w:tc>
          <w:tcPr>
            <w:tcW w:w="2268" w:type="dxa"/>
          </w:tcPr>
          <w:p w14:paraId="3B3EA628" w14:textId="1AA9E31D" w:rsidR="00DE60A9" w:rsidRDefault="00DE60A9" w:rsidP="00E17AC3">
            <w:r>
              <w:t>Direct emissions –directly control</w:t>
            </w:r>
            <w:r w:rsidR="00521C00">
              <w:t>led by Councils.</w:t>
            </w:r>
          </w:p>
        </w:tc>
        <w:tc>
          <w:tcPr>
            <w:tcW w:w="6197" w:type="dxa"/>
          </w:tcPr>
          <w:p w14:paraId="7D203CDB" w14:textId="097CB519" w:rsidR="00FE400A" w:rsidRDefault="00FE400A" w:rsidP="00E17AC3">
            <w:r>
              <w:t xml:space="preserve">Metered heat (gas) </w:t>
            </w:r>
            <w:r w:rsidR="00E41F03">
              <w:t>consumed</w:t>
            </w:r>
            <w:r w:rsidR="009E618D">
              <w:t xml:space="preserve"> </w:t>
            </w:r>
            <w:r>
              <w:t>for public buildings</w:t>
            </w:r>
          </w:p>
          <w:p w14:paraId="4A63B666" w14:textId="530ABF1C" w:rsidR="009E618D" w:rsidRDefault="009E618D" w:rsidP="00E17AC3">
            <w:r>
              <w:t xml:space="preserve">Refrigerants used for public buildings </w:t>
            </w:r>
          </w:p>
          <w:p w14:paraId="6D7914FC" w14:textId="40701A28" w:rsidR="00FE400A" w:rsidRDefault="00FE400A" w:rsidP="00E17AC3">
            <w:r>
              <w:t>Fuel used in SDDC vehicle fleet</w:t>
            </w:r>
          </w:p>
        </w:tc>
      </w:tr>
      <w:tr w:rsidR="00DE60A9" w14:paraId="4C303D11" w14:textId="77777777" w:rsidTr="00521C00">
        <w:tc>
          <w:tcPr>
            <w:tcW w:w="1271" w:type="dxa"/>
          </w:tcPr>
          <w:p w14:paraId="4758D9FB" w14:textId="20438F7D" w:rsidR="00DE60A9" w:rsidRDefault="00DE60A9" w:rsidP="00E17AC3">
            <w:r>
              <w:t>Scope 2</w:t>
            </w:r>
          </w:p>
        </w:tc>
        <w:tc>
          <w:tcPr>
            <w:tcW w:w="2268" w:type="dxa"/>
          </w:tcPr>
          <w:p w14:paraId="36AF4428" w14:textId="46EBDCD3" w:rsidR="00DE60A9" w:rsidRDefault="00DE60A9" w:rsidP="00E17AC3">
            <w:r>
              <w:t xml:space="preserve">In-direct emissions </w:t>
            </w:r>
            <w:r w:rsidR="00521C00">
              <w:t>– directly</w:t>
            </w:r>
            <w:r>
              <w:t xml:space="preserve"> control</w:t>
            </w:r>
            <w:r w:rsidR="00521C00">
              <w:t>led by Councils</w:t>
            </w:r>
          </w:p>
        </w:tc>
        <w:tc>
          <w:tcPr>
            <w:tcW w:w="6197" w:type="dxa"/>
          </w:tcPr>
          <w:p w14:paraId="1919DC60" w14:textId="79CFD2D5" w:rsidR="00E41F03" w:rsidRDefault="00FE400A" w:rsidP="00E17AC3">
            <w:r>
              <w:t>Met</w:t>
            </w:r>
            <w:r w:rsidR="00E41F03">
              <w:t>ered</w:t>
            </w:r>
            <w:r>
              <w:t xml:space="preserve"> electricity – emissions from producing the electricity</w:t>
            </w:r>
          </w:p>
          <w:p w14:paraId="7CD6816D" w14:textId="6769E34F" w:rsidR="009E618D" w:rsidRDefault="009E618D" w:rsidP="00E17AC3"/>
        </w:tc>
      </w:tr>
      <w:tr w:rsidR="00DE60A9" w14:paraId="3C57445B" w14:textId="77777777" w:rsidTr="00521C00">
        <w:tc>
          <w:tcPr>
            <w:tcW w:w="1271" w:type="dxa"/>
          </w:tcPr>
          <w:p w14:paraId="71A3826D" w14:textId="722E5EE7" w:rsidR="00DE60A9" w:rsidRDefault="00DE60A9" w:rsidP="00E17AC3">
            <w:r>
              <w:t>Scope 3</w:t>
            </w:r>
          </w:p>
        </w:tc>
        <w:tc>
          <w:tcPr>
            <w:tcW w:w="2268" w:type="dxa"/>
          </w:tcPr>
          <w:p w14:paraId="28CF73DA" w14:textId="6D0AA4CA" w:rsidR="00DE60A9" w:rsidRDefault="00DE60A9" w:rsidP="00E17AC3">
            <w:r>
              <w:t xml:space="preserve">In-direct emissions – </w:t>
            </w:r>
            <w:r w:rsidR="00521C00">
              <w:t xml:space="preserve">only </w:t>
            </w:r>
            <w:r>
              <w:t>influence</w:t>
            </w:r>
            <w:r w:rsidR="00521C00">
              <w:t>d by Councils</w:t>
            </w:r>
          </w:p>
        </w:tc>
        <w:tc>
          <w:tcPr>
            <w:tcW w:w="6197" w:type="dxa"/>
          </w:tcPr>
          <w:p w14:paraId="401779C4" w14:textId="18FE8B21" w:rsidR="00DE60A9" w:rsidRDefault="00E41F03" w:rsidP="00E17AC3">
            <w:r>
              <w:t xml:space="preserve">Grey mileage – employee business mileage </w:t>
            </w:r>
          </w:p>
          <w:p w14:paraId="08A2B869" w14:textId="34D83F79" w:rsidR="00E41F03" w:rsidRDefault="00E41F03" w:rsidP="00E17AC3">
            <w:r>
              <w:t xml:space="preserve">Employee </w:t>
            </w:r>
            <w:r w:rsidR="000F3E4A">
              <w:t xml:space="preserve">mileage </w:t>
            </w:r>
            <w:r>
              <w:t>commut</w:t>
            </w:r>
            <w:r w:rsidR="000F3E4A">
              <w:t>ing</w:t>
            </w:r>
            <w:r>
              <w:t xml:space="preserve"> to work</w:t>
            </w:r>
          </w:p>
          <w:p w14:paraId="6707D5CD" w14:textId="11AD8785" w:rsidR="00C37E64" w:rsidRDefault="00C37E64" w:rsidP="00E17AC3">
            <w:r>
              <w:t xml:space="preserve">Water and wastewater usage </w:t>
            </w:r>
          </w:p>
          <w:p w14:paraId="2315A43C" w14:textId="77777777" w:rsidR="00E41F03" w:rsidRDefault="00E41F03" w:rsidP="00E17AC3">
            <w:r>
              <w:t xml:space="preserve">Waste disposal </w:t>
            </w:r>
          </w:p>
          <w:p w14:paraId="399C4D89" w14:textId="2D8854DE" w:rsidR="00E41F03" w:rsidRDefault="00E41F03" w:rsidP="00E17AC3">
            <w:r>
              <w:t xml:space="preserve">Supply chain – purchased goods and services </w:t>
            </w:r>
          </w:p>
        </w:tc>
      </w:tr>
    </w:tbl>
    <w:p w14:paraId="0503B75A" w14:textId="185C348B" w:rsidR="00C37E64" w:rsidRDefault="00186A54" w:rsidP="00B54B54">
      <w:pPr>
        <w:jc w:val="both"/>
      </w:pPr>
      <w:r>
        <w:t xml:space="preserve">Although </w:t>
      </w:r>
      <w:r w:rsidR="00D123E9">
        <w:t xml:space="preserve">the Council </w:t>
      </w:r>
      <w:r w:rsidR="00C37E64">
        <w:t>monitor</w:t>
      </w:r>
      <w:r w:rsidR="00D123E9">
        <w:t>s</w:t>
      </w:r>
      <w:r w:rsidR="00521C00">
        <w:t>, track</w:t>
      </w:r>
      <w:r w:rsidR="00D123E9">
        <w:t>s</w:t>
      </w:r>
      <w:r w:rsidR="00521C00">
        <w:t xml:space="preserve"> and report</w:t>
      </w:r>
      <w:r w:rsidR="00D123E9">
        <w:t>s</w:t>
      </w:r>
      <w:r w:rsidR="00521C00">
        <w:t xml:space="preserve"> </w:t>
      </w:r>
      <w:r>
        <w:t xml:space="preserve">on </w:t>
      </w:r>
      <w:r w:rsidR="00C37E64">
        <w:t>Scope 1, 2 and 3</w:t>
      </w:r>
      <w:r w:rsidR="00521C00">
        <w:t xml:space="preserve"> carbon emissions</w:t>
      </w:r>
      <w:r w:rsidR="00C37E64">
        <w:t xml:space="preserve">, the </w:t>
      </w:r>
      <w:r>
        <w:t>Council</w:t>
      </w:r>
      <w:r w:rsidR="00D123E9">
        <w:t>’s</w:t>
      </w:r>
      <w:r>
        <w:t xml:space="preserve"> in-house carbon neutral </w:t>
      </w:r>
      <w:r w:rsidR="00C37E64">
        <w:t>commitments</w:t>
      </w:r>
      <w:r w:rsidR="0029756B">
        <w:t xml:space="preserve"> are confined to Scope 1 and 2 only. </w:t>
      </w:r>
    </w:p>
    <w:p w14:paraId="032987B0" w14:textId="2458732B" w:rsidR="00EA1A2D" w:rsidRDefault="00521C00">
      <w:pPr>
        <w:jc w:val="both"/>
      </w:pPr>
      <w:r>
        <w:t xml:space="preserve">The South Derbyshire </w:t>
      </w:r>
      <w:r w:rsidR="00D123E9">
        <w:t>D</w:t>
      </w:r>
      <w:r>
        <w:t>istrict-wide carbon emissions are categorised into</w:t>
      </w:r>
      <w:r w:rsidR="009A1DEC">
        <w:t xml:space="preserve"> the main carbon emission</w:t>
      </w:r>
      <w:r>
        <w:t xml:space="preserve"> </w:t>
      </w:r>
      <w:r w:rsidR="009A1DEC">
        <w:t>sectors of Industry, Commercial, Public Sector, Domestic Transport and Land use</w:t>
      </w:r>
      <w:r w:rsidR="00FE5946">
        <w:t>. This categorisation is</w:t>
      </w:r>
      <w:r w:rsidR="00186A54">
        <w:t xml:space="preserve"> in line with the Government</w:t>
      </w:r>
      <w:r w:rsidR="00D123E9">
        <w:t>’</w:t>
      </w:r>
      <w:r w:rsidR="00186A54">
        <w:t xml:space="preserve">s National Statistics Office. </w:t>
      </w:r>
    </w:p>
    <w:p w14:paraId="60ABB4E3" w14:textId="77777777" w:rsidR="00EA1A2D" w:rsidRDefault="00EA1A2D">
      <w:r>
        <w:br w:type="page"/>
      </w:r>
    </w:p>
    <w:p w14:paraId="167B4E02" w14:textId="3B36DEAC" w:rsidR="0018761C" w:rsidRDefault="006827D0" w:rsidP="006827D0">
      <w:pPr>
        <w:pStyle w:val="Heading1"/>
        <w:numPr>
          <w:ilvl w:val="0"/>
          <w:numId w:val="22"/>
        </w:numPr>
      </w:pPr>
      <w:bookmarkStart w:id="7" w:name="_Toc105427810"/>
      <w:r>
        <w:lastRenderedPageBreak/>
        <w:t xml:space="preserve">SDDC </w:t>
      </w:r>
      <w:r w:rsidR="005C5052">
        <w:t xml:space="preserve">In-house </w:t>
      </w:r>
      <w:r w:rsidR="0018761C">
        <w:t xml:space="preserve">Carbon Emission </w:t>
      </w:r>
      <w:r>
        <w:t>Reporting</w:t>
      </w:r>
      <w:r w:rsidR="002C2A32">
        <w:t xml:space="preserve"> (Scope 1, 2 and 3)</w:t>
      </w:r>
      <w:bookmarkEnd w:id="7"/>
    </w:p>
    <w:p w14:paraId="4DEDB52D" w14:textId="26507EF8" w:rsidR="006827D0" w:rsidRDefault="005C098D" w:rsidP="00B54B54">
      <w:pPr>
        <w:jc w:val="both"/>
      </w:pPr>
      <w:r>
        <w:t>The</w:t>
      </w:r>
      <w:r w:rsidR="006827D0">
        <w:t xml:space="preserve"> in-house</w:t>
      </w:r>
      <w:r>
        <w:t xml:space="preserve"> </w:t>
      </w:r>
      <w:r w:rsidR="00AF370A">
        <w:t xml:space="preserve">carbon </w:t>
      </w:r>
      <w:r>
        <w:t>emission</w:t>
      </w:r>
      <w:r w:rsidR="00FE5946">
        <w:t>s</w:t>
      </w:r>
      <w:r w:rsidR="006827D0">
        <w:t xml:space="preserve"> detailed</w:t>
      </w:r>
      <w:r>
        <w:t xml:space="preserve"> in this first annual report </w:t>
      </w:r>
      <w:r w:rsidR="006827D0">
        <w:t xml:space="preserve">are </w:t>
      </w:r>
      <w:r w:rsidR="0005505E">
        <w:t xml:space="preserve">based on </w:t>
      </w:r>
      <w:r w:rsidR="006827D0">
        <w:t>the Council’s energy consumption during</w:t>
      </w:r>
      <w:r>
        <w:t xml:space="preserve"> the financial year 2021/22</w:t>
      </w:r>
      <w:r w:rsidR="005C5052">
        <w:t xml:space="preserve"> and are calculated as tonnes of equivalent carbon dioxide (tCO2e).</w:t>
      </w:r>
    </w:p>
    <w:p w14:paraId="3B33B563" w14:textId="59DB8494" w:rsidR="00EE4C1F" w:rsidRDefault="00BA36ED" w:rsidP="002B7823">
      <w:pPr>
        <w:pStyle w:val="Heading2"/>
        <w:numPr>
          <w:ilvl w:val="1"/>
          <w:numId w:val="22"/>
        </w:numPr>
      </w:pPr>
      <w:bookmarkStart w:id="8" w:name="_Toc105427811"/>
      <w:r>
        <w:t xml:space="preserve">Total </w:t>
      </w:r>
      <w:r w:rsidR="005C5052">
        <w:t xml:space="preserve">SDDC </w:t>
      </w:r>
      <w:r w:rsidR="0029756B">
        <w:t xml:space="preserve">In-house carbon emissions </w:t>
      </w:r>
      <w:r>
        <w:t>(Scope 1 and 2)</w:t>
      </w:r>
      <w:bookmarkEnd w:id="8"/>
    </w:p>
    <w:p w14:paraId="557A1262" w14:textId="7046F4B6" w:rsidR="00950306" w:rsidRDefault="00950306" w:rsidP="0005129C">
      <w:pPr>
        <w:jc w:val="both"/>
      </w:pPr>
      <w:r>
        <w:t>Th</w:t>
      </w:r>
      <w:r w:rsidR="00360602">
        <w:t xml:space="preserve">is is the </w:t>
      </w:r>
      <w:r w:rsidR="00284B14">
        <w:t xml:space="preserve">primary measure in understanding the progress SDDC is making </w:t>
      </w:r>
      <w:r w:rsidR="00360602">
        <w:t>on its commitment to reduce</w:t>
      </w:r>
      <w:r w:rsidR="00284B14">
        <w:t xml:space="preserve"> its in-house emissions (Scope 1 and 2) to carbon neutral by 2030</w:t>
      </w:r>
      <w:r w:rsidR="00360602">
        <w:t xml:space="preserve">. These in-house (Scope 1 and 2) carbon emissions result from the activities that the Council </w:t>
      </w:r>
      <w:r w:rsidR="00D123E9">
        <w:t xml:space="preserve">is </w:t>
      </w:r>
      <w:r w:rsidR="00360602">
        <w:t>in control of and are</w:t>
      </w:r>
      <w:r w:rsidR="00284B14">
        <w:t xml:space="preserve"> shown in </w:t>
      </w:r>
      <w:r w:rsidR="00FE5946">
        <w:t>Figure 1</w:t>
      </w:r>
      <w:r w:rsidR="00284B14">
        <w:t xml:space="preserve"> below.  </w:t>
      </w:r>
    </w:p>
    <w:p w14:paraId="651648F3" w14:textId="25F63895" w:rsidR="00FE5946" w:rsidRPr="00B54B54" w:rsidRDefault="00FE5946" w:rsidP="00B54B54">
      <w:pPr>
        <w:jc w:val="both"/>
        <w:rPr>
          <w:b/>
          <w:bCs/>
        </w:rPr>
      </w:pPr>
      <w:r w:rsidRPr="00B54B54">
        <w:rPr>
          <w:b/>
          <w:bCs/>
        </w:rPr>
        <w:t xml:space="preserve">Figure 1: </w:t>
      </w:r>
      <w:r w:rsidR="00EE17A5">
        <w:rPr>
          <w:b/>
          <w:bCs/>
        </w:rPr>
        <w:t xml:space="preserve">Total </w:t>
      </w:r>
      <w:r w:rsidRPr="00B54B54">
        <w:rPr>
          <w:b/>
          <w:bCs/>
        </w:rPr>
        <w:t>Scope 1 and 2 Emissions</w:t>
      </w:r>
    </w:p>
    <w:p w14:paraId="5DA8D42A" w14:textId="4A16565A" w:rsidR="00C41775" w:rsidRDefault="00187764" w:rsidP="000920C1">
      <w:r>
        <w:rPr>
          <w:noProof/>
        </w:rPr>
        <w:drawing>
          <wp:inline distT="0" distB="0" distL="0" distR="0" wp14:anchorId="4523D763" wp14:editId="4D418EA1">
            <wp:extent cx="5918200" cy="2438400"/>
            <wp:effectExtent l="0" t="0" r="63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C41775">
        <w:t xml:space="preserve"> </w:t>
      </w:r>
    </w:p>
    <w:p w14:paraId="2FDCFC72" w14:textId="2810B0BB" w:rsidR="00284B14" w:rsidRDefault="00284B14" w:rsidP="00A118FA">
      <w:pPr>
        <w:tabs>
          <w:tab w:val="right" w:pos="9746"/>
        </w:tabs>
        <w:rPr>
          <w:b/>
          <w:bCs/>
        </w:rPr>
      </w:pPr>
      <w:r>
        <w:rPr>
          <w:b/>
          <w:bCs/>
        </w:rPr>
        <w:t>Progress analysis:</w:t>
      </w:r>
      <w:r w:rsidR="00A118FA">
        <w:rPr>
          <w:b/>
          <w:bCs/>
        </w:rPr>
        <w:tab/>
      </w:r>
    </w:p>
    <w:p w14:paraId="311C0AD2" w14:textId="6D26DDE1" w:rsidR="00676C7A" w:rsidRDefault="00FB2542" w:rsidP="00B54B54">
      <w:pPr>
        <w:jc w:val="both"/>
      </w:pPr>
      <w:r>
        <w:t xml:space="preserve">Progress is measured relative to the 2018/19 emission baseline when the Council’s energy consumption activities resulted in carbon emissions of 2,500 tCO2e. </w:t>
      </w:r>
      <w:r w:rsidR="00676C7A">
        <w:t xml:space="preserve">Overall SDDC are reducing </w:t>
      </w:r>
      <w:r w:rsidR="00D123E9">
        <w:t xml:space="preserve">its </w:t>
      </w:r>
      <w:r w:rsidR="00284B14">
        <w:t xml:space="preserve">in-house </w:t>
      </w:r>
      <w:r w:rsidR="00676C7A">
        <w:t xml:space="preserve">carbon emissions </w:t>
      </w:r>
      <w:r>
        <w:t>year by year:</w:t>
      </w:r>
    </w:p>
    <w:p w14:paraId="1BD7E1B3" w14:textId="34F7B539" w:rsidR="00676C7A" w:rsidRDefault="00FB2542" w:rsidP="00B54B54">
      <w:pPr>
        <w:pStyle w:val="ListParagraph"/>
        <w:numPr>
          <w:ilvl w:val="0"/>
          <w:numId w:val="27"/>
        </w:numPr>
        <w:jc w:val="both"/>
      </w:pPr>
      <w:r>
        <w:t>2021/22</w:t>
      </w:r>
      <w:r w:rsidR="00676C7A">
        <w:t xml:space="preserve"> annual carbon emissions have reduced by 542 tCO2e (22%) from 2018/19</w:t>
      </w:r>
    </w:p>
    <w:p w14:paraId="24118ACE" w14:textId="5357A44C" w:rsidR="00FB2542" w:rsidRDefault="00676C7A" w:rsidP="0005129C">
      <w:pPr>
        <w:pStyle w:val="ListParagraph"/>
        <w:numPr>
          <w:ilvl w:val="0"/>
          <w:numId w:val="27"/>
        </w:numPr>
        <w:jc w:val="both"/>
      </w:pPr>
      <w:r>
        <w:t xml:space="preserve">Current carbon emissions have reduced by 16 tCO2e (0.8%) from </w:t>
      </w:r>
      <w:r w:rsidR="002F03B5">
        <w:t>2020/21</w:t>
      </w:r>
    </w:p>
    <w:p w14:paraId="03B1DFAE" w14:textId="76F2C3FE" w:rsidR="00676C7A" w:rsidRPr="00187764" w:rsidRDefault="00FB2542" w:rsidP="00B54B54">
      <w:pPr>
        <w:jc w:val="both"/>
      </w:pPr>
      <w:r>
        <w:t xml:space="preserve">To </w:t>
      </w:r>
      <w:r w:rsidR="00676C7A">
        <w:t>get to carbon neutral by 2030</w:t>
      </w:r>
      <w:r w:rsidR="00CB632A">
        <w:t xml:space="preserve"> SDDC need</w:t>
      </w:r>
      <w:r w:rsidR="00D123E9">
        <w:t>s</w:t>
      </w:r>
      <w:r w:rsidR="00CB632A">
        <w:t xml:space="preserve"> to reduce </w:t>
      </w:r>
      <w:r w:rsidR="00583BC0">
        <w:t xml:space="preserve">its in-house </w:t>
      </w:r>
      <w:r w:rsidR="00CB632A">
        <w:t xml:space="preserve">carbon emissions by </w:t>
      </w:r>
      <w:r w:rsidR="00583BC0">
        <w:t xml:space="preserve">a yearly average of </w:t>
      </w:r>
      <w:r w:rsidR="00CB632A">
        <w:t>245 tCO2e from 2022</w:t>
      </w:r>
      <w:r w:rsidR="00583BC0">
        <w:t xml:space="preserve"> to 2030.</w:t>
      </w:r>
    </w:p>
    <w:p w14:paraId="738610EB" w14:textId="6446E467" w:rsidR="00DE5321" w:rsidRDefault="00715054" w:rsidP="00C84A7E">
      <w:pPr>
        <w:pStyle w:val="Heading2"/>
        <w:numPr>
          <w:ilvl w:val="1"/>
          <w:numId w:val="22"/>
        </w:numPr>
      </w:pPr>
      <w:bookmarkStart w:id="9" w:name="_Toc105427812"/>
      <w:r>
        <w:t xml:space="preserve">Source Specific </w:t>
      </w:r>
      <w:r w:rsidR="00BA36ED">
        <w:t>in-house carbon emission</w:t>
      </w:r>
      <w:r w:rsidR="006761D6">
        <w:t xml:space="preserve"> sources</w:t>
      </w:r>
      <w:r w:rsidR="000920C1">
        <w:t xml:space="preserve"> (Scope 1 and 2)</w:t>
      </w:r>
      <w:bookmarkEnd w:id="9"/>
    </w:p>
    <w:p w14:paraId="619171CD" w14:textId="071AF302" w:rsidR="00C84A7E" w:rsidRDefault="00B76482" w:rsidP="00B54B54">
      <w:pPr>
        <w:jc w:val="both"/>
      </w:pPr>
      <w:r>
        <w:t xml:space="preserve">The </w:t>
      </w:r>
      <w:r w:rsidR="00D24989">
        <w:t>t</w:t>
      </w:r>
      <w:r>
        <w:t xml:space="preserve">otal SDDC in-house carbon emissions (Scope 1 and 2) shown </w:t>
      </w:r>
      <w:r w:rsidR="00715054">
        <w:t xml:space="preserve">in Figure 1 </w:t>
      </w:r>
      <w:r>
        <w:t xml:space="preserve">are from </w:t>
      </w:r>
      <w:r w:rsidR="00715054">
        <w:t xml:space="preserve">all the </w:t>
      </w:r>
      <w:r>
        <w:t>Council</w:t>
      </w:r>
      <w:r w:rsidR="00715054">
        <w:t>’</w:t>
      </w:r>
      <w:r>
        <w:t xml:space="preserve">s main </w:t>
      </w:r>
      <w:r w:rsidR="00715054">
        <w:t xml:space="preserve">operational </w:t>
      </w:r>
      <w:r>
        <w:t xml:space="preserve">areas of energy consumption </w:t>
      </w:r>
      <w:r w:rsidR="00715054">
        <w:t xml:space="preserve">which are under Council </w:t>
      </w:r>
      <w:r>
        <w:t>control</w:t>
      </w:r>
      <w:r w:rsidR="00715054">
        <w:t>, namely</w:t>
      </w:r>
      <w:r>
        <w:t>:</w:t>
      </w:r>
    </w:p>
    <w:p w14:paraId="1FBA92CA" w14:textId="0235CE31" w:rsidR="00B76482" w:rsidRDefault="00B76482" w:rsidP="00B54B54">
      <w:pPr>
        <w:pStyle w:val="ListParagraph"/>
        <w:numPr>
          <w:ilvl w:val="0"/>
          <w:numId w:val="36"/>
        </w:numPr>
        <w:jc w:val="both"/>
      </w:pPr>
      <w:r>
        <w:t>The diesel used in its fleet vehicles</w:t>
      </w:r>
      <w:r w:rsidR="00987404">
        <w:t xml:space="preserve"> (</w:t>
      </w:r>
      <w:r w:rsidR="002F03B5">
        <w:t xml:space="preserve">for </w:t>
      </w:r>
      <w:r w:rsidR="00987404">
        <w:t>waste collection, housing, etc)</w:t>
      </w:r>
    </w:p>
    <w:p w14:paraId="5ED64420" w14:textId="05865290" w:rsidR="00B76482" w:rsidRDefault="00B76482" w:rsidP="00B54B54">
      <w:pPr>
        <w:pStyle w:val="ListParagraph"/>
        <w:numPr>
          <w:ilvl w:val="0"/>
          <w:numId w:val="36"/>
        </w:numPr>
        <w:jc w:val="both"/>
      </w:pPr>
      <w:r>
        <w:t xml:space="preserve">The heat/gas used to heat all public buildings </w:t>
      </w:r>
      <w:r w:rsidR="00987404">
        <w:t>(office</w:t>
      </w:r>
      <w:r w:rsidR="00715054">
        <w:t xml:space="preserve"> buildings</w:t>
      </w:r>
      <w:r w:rsidR="00987404">
        <w:t>, swimming pools, etc)</w:t>
      </w:r>
    </w:p>
    <w:p w14:paraId="00E4A43B" w14:textId="72B2687F" w:rsidR="00B76482" w:rsidRDefault="00B76482" w:rsidP="00B54B54">
      <w:pPr>
        <w:pStyle w:val="ListParagraph"/>
        <w:numPr>
          <w:ilvl w:val="0"/>
          <w:numId w:val="36"/>
        </w:numPr>
        <w:jc w:val="both"/>
      </w:pPr>
      <w:r>
        <w:t xml:space="preserve">The electricity used in all its public buildings </w:t>
      </w:r>
      <w:r w:rsidR="00987404">
        <w:t xml:space="preserve">(lighting, power, etc) </w:t>
      </w:r>
    </w:p>
    <w:p w14:paraId="14BDFA48" w14:textId="415FCDA5" w:rsidR="00B76482" w:rsidRDefault="00B76482" w:rsidP="00B54B54">
      <w:pPr>
        <w:pStyle w:val="ListParagraph"/>
        <w:numPr>
          <w:ilvl w:val="0"/>
          <w:numId w:val="36"/>
        </w:numPr>
        <w:jc w:val="both"/>
      </w:pPr>
      <w:r>
        <w:t xml:space="preserve">The refrigerants used in all its public buildings (air conditioning, water treatment, etc) </w:t>
      </w:r>
    </w:p>
    <w:p w14:paraId="5F7C98F0" w14:textId="223C50F8" w:rsidR="00583BC0" w:rsidRDefault="00987404" w:rsidP="0005129C">
      <w:pPr>
        <w:jc w:val="both"/>
      </w:pPr>
      <w:r>
        <w:lastRenderedPageBreak/>
        <w:t xml:space="preserve">All these energy consuming sources are controlled by the Council and the carbon emissions resulting from </w:t>
      </w:r>
      <w:r w:rsidR="00EE17A5">
        <w:t>each of these sources are illustrated in Figure 2</w:t>
      </w:r>
      <w:r>
        <w:t>:</w:t>
      </w:r>
    </w:p>
    <w:p w14:paraId="2CBEB120" w14:textId="323FC7FF" w:rsidR="00EE17A5" w:rsidRDefault="00877061" w:rsidP="00B54B54">
      <w:pPr>
        <w:jc w:val="both"/>
      </w:pPr>
      <w:r>
        <w:rPr>
          <w:noProof/>
        </w:rPr>
        <w:drawing>
          <wp:anchor distT="0" distB="0" distL="114300" distR="114300" simplePos="0" relativeHeight="251662336" behindDoc="0" locked="0" layoutInCell="1" allowOverlap="1" wp14:anchorId="5CDCE43B" wp14:editId="53E855EE">
            <wp:simplePos x="0" y="0"/>
            <wp:positionH relativeFrom="margin">
              <wp:align>left</wp:align>
            </wp:positionH>
            <wp:positionV relativeFrom="paragraph">
              <wp:posOffset>310515</wp:posOffset>
            </wp:positionV>
            <wp:extent cx="5918200" cy="2762250"/>
            <wp:effectExtent l="0" t="0" r="6350" b="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EE17A5" w:rsidRPr="00B54B54">
        <w:rPr>
          <w:b/>
          <w:bCs/>
        </w:rPr>
        <w:t xml:space="preserve">Figure 2: Source Specific </w:t>
      </w:r>
      <w:r w:rsidR="00EE17A5" w:rsidRPr="00EE17A5">
        <w:rPr>
          <w:b/>
          <w:bCs/>
        </w:rPr>
        <w:t>Scope 1 and 2 Emissions</w:t>
      </w:r>
    </w:p>
    <w:p w14:paraId="1E213F87" w14:textId="74C4856E" w:rsidR="002C2A32" w:rsidRDefault="002C2A32" w:rsidP="002C2A32"/>
    <w:p w14:paraId="61B26A1E" w14:textId="77777777" w:rsidR="00E039F5" w:rsidRDefault="002C2A32" w:rsidP="000920C1">
      <w:r>
        <w:rPr>
          <w:b/>
          <w:bCs/>
        </w:rPr>
        <w:t>Progress analysis:</w:t>
      </w:r>
      <w:r w:rsidR="000920C1">
        <w:t xml:space="preserve"> </w:t>
      </w:r>
    </w:p>
    <w:p w14:paraId="2D136ED4" w14:textId="70CA9631" w:rsidR="000920C1" w:rsidRDefault="000920C1" w:rsidP="0005129C">
      <w:pPr>
        <w:jc w:val="both"/>
      </w:pPr>
      <w:r>
        <w:t>T</w:t>
      </w:r>
      <w:r w:rsidR="00EE17A5">
        <w:t xml:space="preserve">able </w:t>
      </w:r>
      <w:r w:rsidR="002F03B5">
        <w:t>2</w:t>
      </w:r>
      <w:r w:rsidR="00EE17A5">
        <w:t xml:space="preserve"> </w:t>
      </w:r>
      <w:r>
        <w:t>shows the variance</w:t>
      </w:r>
      <w:r w:rsidR="002C2A32">
        <w:t xml:space="preserve"> in carbon emissions relative to the 2018/19 baseline of the individual energy consuming sources.</w:t>
      </w:r>
      <w:r>
        <w:t xml:space="preserve"> </w:t>
      </w:r>
    </w:p>
    <w:p w14:paraId="06B28818" w14:textId="3ED8888D" w:rsidR="00EE17A5" w:rsidRPr="000920C1" w:rsidRDefault="00EE17A5" w:rsidP="00B54B54">
      <w:pPr>
        <w:spacing w:after="0"/>
        <w:jc w:val="both"/>
      </w:pPr>
      <w:r w:rsidRPr="00B54B54">
        <w:rPr>
          <w:b/>
          <w:bCs/>
        </w:rPr>
        <w:t xml:space="preserve">Table </w:t>
      </w:r>
      <w:r w:rsidR="002F03B5">
        <w:rPr>
          <w:b/>
          <w:bCs/>
        </w:rPr>
        <w:t>2</w:t>
      </w:r>
      <w:r w:rsidRPr="00B54B54">
        <w:rPr>
          <w:b/>
          <w:bCs/>
        </w:rPr>
        <w:t xml:space="preserve">: </w:t>
      </w:r>
      <w:r w:rsidRPr="00EE17A5">
        <w:rPr>
          <w:b/>
          <w:bCs/>
        </w:rPr>
        <w:t>Source Specific Scope 1 and 2 Emissions</w:t>
      </w:r>
    </w:p>
    <w:tbl>
      <w:tblPr>
        <w:tblStyle w:val="TableGrid"/>
        <w:tblW w:w="0" w:type="auto"/>
        <w:tblInd w:w="-5" w:type="dxa"/>
        <w:tblLook w:val="04A0" w:firstRow="1" w:lastRow="0" w:firstColumn="1" w:lastColumn="0" w:noHBand="0" w:noVBand="1"/>
      </w:tblPr>
      <w:tblGrid>
        <w:gridCol w:w="2552"/>
        <w:gridCol w:w="3544"/>
        <w:gridCol w:w="3260"/>
      </w:tblGrid>
      <w:tr w:rsidR="00BB4E03" w14:paraId="773E893E" w14:textId="77777777" w:rsidTr="002C2A32">
        <w:tc>
          <w:tcPr>
            <w:tcW w:w="2552" w:type="dxa"/>
            <w:shd w:val="clear" w:color="auto" w:fill="D9D9D9" w:themeFill="background1" w:themeFillShade="D9"/>
          </w:tcPr>
          <w:p w14:paraId="191AFDFB" w14:textId="43A81B6F" w:rsidR="00BB4E03" w:rsidRDefault="00A907C0" w:rsidP="00DB2436">
            <w:pPr>
              <w:pStyle w:val="ListParagraph"/>
              <w:ind w:left="0"/>
            </w:pPr>
            <w:r>
              <w:t>tCO2e source</w:t>
            </w:r>
          </w:p>
        </w:tc>
        <w:tc>
          <w:tcPr>
            <w:tcW w:w="3544" w:type="dxa"/>
            <w:shd w:val="clear" w:color="auto" w:fill="D9D9D9" w:themeFill="background1" w:themeFillShade="D9"/>
          </w:tcPr>
          <w:p w14:paraId="3B8E5349" w14:textId="64E306CC" w:rsidR="00BB4E03" w:rsidRDefault="00BB4E03" w:rsidP="00DB2436">
            <w:pPr>
              <w:pStyle w:val="ListParagraph"/>
              <w:ind w:left="0"/>
            </w:pPr>
            <w:r>
              <w:t>Variance between 2018 and 2022</w:t>
            </w:r>
          </w:p>
        </w:tc>
        <w:tc>
          <w:tcPr>
            <w:tcW w:w="3260" w:type="dxa"/>
            <w:shd w:val="clear" w:color="auto" w:fill="D9D9D9" w:themeFill="background1" w:themeFillShade="D9"/>
          </w:tcPr>
          <w:p w14:paraId="5E1DEDD6" w14:textId="0949BFF7" w:rsidR="00BB4E03" w:rsidRDefault="00BB4E03" w:rsidP="00DB2436">
            <w:pPr>
              <w:pStyle w:val="ListParagraph"/>
              <w:ind w:left="0"/>
            </w:pPr>
            <w:r>
              <w:t xml:space="preserve">Prior year variance  </w:t>
            </w:r>
          </w:p>
        </w:tc>
      </w:tr>
      <w:tr w:rsidR="00BB4E03" w14:paraId="754BEEC4" w14:textId="77777777" w:rsidTr="002C2A32">
        <w:tc>
          <w:tcPr>
            <w:tcW w:w="2552" w:type="dxa"/>
          </w:tcPr>
          <w:p w14:paraId="352418DE" w14:textId="54E58C0B" w:rsidR="00BB4E03" w:rsidRDefault="00BB4E03" w:rsidP="00DB2436">
            <w:pPr>
              <w:pStyle w:val="ListParagraph"/>
              <w:ind w:left="0"/>
            </w:pPr>
            <w:r>
              <w:t xml:space="preserve">Heat/Gas </w:t>
            </w:r>
          </w:p>
        </w:tc>
        <w:tc>
          <w:tcPr>
            <w:tcW w:w="3544" w:type="dxa"/>
          </w:tcPr>
          <w:p w14:paraId="44DAD48A" w14:textId="7010FF0A" w:rsidR="00BB4E03" w:rsidRDefault="00BB4E03" w:rsidP="00DB2436">
            <w:pPr>
              <w:pStyle w:val="ListParagraph"/>
              <w:ind w:left="0"/>
            </w:pPr>
            <w:r>
              <w:t>-163</w:t>
            </w:r>
            <w:r w:rsidR="002C2A32">
              <w:t xml:space="preserve"> tCO2e (</w:t>
            </w:r>
            <w:r>
              <w:t>20% reduction)</w:t>
            </w:r>
          </w:p>
        </w:tc>
        <w:tc>
          <w:tcPr>
            <w:tcW w:w="3260" w:type="dxa"/>
          </w:tcPr>
          <w:p w14:paraId="1A188E72" w14:textId="2244F038" w:rsidR="00BB4E03" w:rsidRDefault="00BB4E03" w:rsidP="00DB2436">
            <w:pPr>
              <w:pStyle w:val="ListParagraph"/>
              <w:ind w:left="0"/>
            </w:pPr>
            <w:r>
              <w:t xml:space="preserve">+156 </w:t>
            </w:r>
            <w:r w:rsidR="002C2A32">
              <w:t xml:space="preserve">tCO2e </w:t>
            </w:r>
            <w:r>
              <w:t>(33% increase)</w:t>
            </w:r>
          </w:p>
        </w:tc>
      </w:tr>
      <w:tr w:rsidR="00BB4E03" w14:paraId="0D406443" w14:textId="77777777" w:rsidTr="002C2A32">
        <w:tc>
          <w:tcPr>
            <w:tcW w:w="2552" w:type="dxa"/>
          </w:tcPr>
          <w:p w14:paraId="7D13D627" w14:textId="3239DD66" w:rsidR="00BB4E03" w:rsidRDefault="00BB4E03" w:rsidP="00A907C0">
            <w:pPr>
              <w:pStyle w:val="ListParagraph"/>
              <w:ind w:left="0"/>
            </w:pPr>
            <w:r>
              <w:t xml:space="preserve">Fleet/Diesel </w:t>
            </w:r>
          </w:p>
        </w:tc>
        <w:tc>
          <w:tcPr>
            <w:tcW w:w="3544" w:type="dxa"/>
          </w:tcPr>
          <w:p w14:paraId="7D0B873B" w14:textId="2A31BD70" w:rsidR="00BB4E03" w:rsidRDefault="00BB4E03" w:rsidP="00DB2436">
            <w:pPr>
              <w:pStyle w:val="ListParagraph"/>
              <w:ind w:left="0"/>
            </w:pPr>
            <w:r>
              <w:t xml:space="preserve">+126 </w:t>
            </w:r>
            <w:r w:rsidR="002C2A32">
              <w:t xml:space="preserve">tCO2e </w:t>
            </w:r>
            <w:r>
              <w:t>(17% increase)</w:t>
            </w:r>
          </w:p>
        </w:tc>
        <w:tc>
          <w:tcPr>
            <w:tcW w:w="3260" w:type="dxa"/>
          </w:tcPr>
          <w:p w14:paraId="3E4FE662" w14:textId="2A00009B" w:rsidR="00BB4E03" w:rsidRDefault="00BB4E03" w:rsidP="00DB2436">
            <w:pPr>
              <w:pStyle w:val="ListParagraph"/>
              <w:ind w:left="0"/>
            </w:pPr>
            <w:r>
              <w:t xml:space="preserve">-19 </w:t>
            </w:r>
            <w:r w:rsidR="002C2A32">
              <w:t>tCO2e</w:t>
            </w:r>
            <w:r>
              <w:t xml:space="preserve"> (2% reduction)</w:t>
            </w:r>
          </w:p>
        </w:tc>
      </w:tr>
      <w:tr w:rsidR="00BB4E03" w14:paraId="0A9F6BDF" w14:textId="77777777" w:rsidTr="002C2A32">
        <w:tc>
          <w:tcPr>
            <w:tcW w:w="2552" w:type="dxa"/>
          </w:tcPr>
          <w:p w14:paraId="7A5314CF" w14:textId="3C833406" w:rsidR="00BB4E03" w:rsidRDefault="00BB4E03" w:rsidP="00DB2436">
            <w:pPr>
              <w:pStyle w:val="ListParagraph"/>
              <w:ind w:left="0"/>
            </w:pPr>
            <w:r>
              <w:t xml:space="preserve">Electricity </w:t>
            </w:r>
          </w:p>
        </w:tc>
        <w:tc>
          <w:tcPr>
            <w:tcW w:w="3544" w:type="dxa"/>
          </w:tcPr>
          <w:p w14:paraId="60524B6C" w14:textId="33946E9F" w:rsidR="00BB4E03" w:rsidRDefault="00BB4E03" w:rsidP="00DB2436">
            <w:pPr>
              <w:pStyle w:val="ListParagraph"/>
              <w:ind w:left="0"/>
            </w:pPr>
            <w:r>
              <w:t xml:space="preserve">-252 </w:t>
            </w:r>
            <w:r w:rsidR="002C2A32">
              <w:t xml:space="preserve">tCO2e </w:t>
            </w:r>
            <w:r>
              <w:t>(52% reduction)</w:t>
            </w:r>
          </w:p>
        </w:tc>
        <w:tc>
          <w:tcPr>
            <w:tcW w:w="3260" w:type="dxa"/>
          </w:tcPr>
          <w:p w14:paraId="502462BF" w14:textId="1DEF822E" w:rsidR="00BB4E03" w:rsidRDefault="00BB4E03" w:rsidP="00DB2436">
            <w:pPr>
              <w:pStyle w:val="ListParagraph"/>
              <w:ind w:left="0"/>
            </w:pPr>
            <w:r>
              <w:t>-61</w:t>
            </w:r>
            <w:r w:rsidR="00A4178E">
              <w:t xml:space="preserve"> tCO2e</w:t>
            </w:r>
            <w:r>
              <w:t xml:space="preserve"> (21% reduction)</w:t>
            </w:r>
          </w:p>
        </w:tc>
      </w:tr>
      <w:tr w:rsidR="00BB4E03" w14:paraId="6CD8A05C" w14:textId="77777777" w:rsidTr="002C2A32">
        <w:tc>
          <w:tcPr>
            <w:tcW w:w="2552" w:type="dxa"/>
          </w:tcPr>
          <w:p w14:paraId="26806883" w14:textId="397B10AC" w:rsidR="00BB4E03" w:rsidRDefault="00BB4E03" w:rsidP="00DB2436">
            <w:pPr>
              <w:pStyle w:val="ListParagraph"/>
              <w:ind w:left="0"/>
            </w:pPr>
            <w:r>
              <w:t>Refrigerant</w:t>
            </w:r>
          </w:p>
        </w:tc>
        <w:tc>
          <w:tcPr>
            <w:tcW w:w="3544" w:type="dxa"/>
          </w:tcPr>
          <w:p w14:paraId="273638F1" w14:textId="3A4011C8" w:rsidR="00BB4E03" w:rsidRDefault="00BB4E03" w:rsidP="00DB2436">
            <w:pPr>
              <w:pStyle w:val="ListParagraph"/>
              <w:ind w:left="0"/>
            </w:pPr>
            <w:r>
              <w:t xml:space="preserve">-215 </w:t>
            </w:r>
            <w:r w:rsidR="002C2A32">
              <w:t xml:space="preserve">tCO2e </w:t>
            </w:r>
            <w:r>
              <w:t>(44% reduction)</w:t>
            </w:r>
          </w:p>
        </w:tc>
        <w:tc>
          <w:tcPr>
            <w:tcW w:w="3260" w:type="dxa"/>
          </w:tcPr>
          <w:p w14:paraId="663336BD" w14:textId="4AF8BCF5" w:rsidR="00BB4E03" w:rsidRDefault="00BB4E03" w:rsidP="00DB2436">
            <w:pPr>
              <w:pStyle w:val="ListParagraph"/>
              <w:ind w:left="0"/>
            </w:pPr>
            <w:r>
              <w:t>-82</w:t>
            </w:r>
            <w:r w:rsidR="003C1FDB">
              <w:t xml:space="preserve"> tCO2e</w:t>
            </w:r>
            <w:r>
              <w:t xml:space="preserve"> (23% reduction)</w:t>
            </w:r>
          </w:p>
        </w:tc>
      </w:tr>
    </w:tbl>
    <w:p w14:paraId="3419A703" w14:textId="3C6BBC17" w:rsidR="00781838" w:rsidRDefault="00781838" w:rsidP="00DB2436">
      <w:pPr>
        <w:pStyle w:val="ListParagraph"/>
      </w:pPr>
    </w:p>
    <w:p w14:paraId="52522B99" w14:textId="0F626D8F" w:rsidR="00A478D9" w:rsidRDefault="00A478D9" w:rsidP="00B54B54">
      <w:pPr>
        <w:pStyle w:val="ListParagraph"/>
        <w:numPr>
          <w:ilvl w:val="0"/>
          <w:numId w:val="27"/>
        </w:numPr>
        <w:jc w:val="both"/>
      </w:pPr>
      <w:r>
        <w:t xml:space="preserve">All carbon emission sources are reducing except for those from fleet vehicles </w:t>
      </w:r>
    </w:p>
    <w:p w14:paraId="70E887B0" w14:textId="5235E817" w:rsidR="00A478D9" w:rsidRDefault="003C1FDB" w:rsidP="00B54B54">
      <w:pPr>
        <w:pStyle w:val="ListParagraph"/>
        <w:numPr>
          <w:ilvl w:val="1"/>
          <w:numId w:val="27"/>
        </w:numPr>
        <w:jc w:val="both"/>
      </w:pPr>
      <w:r>
        <w:t>The f</w:t>
      </w:r>
      <w:r w:rsidR="00A478D9">
        <w:t xml:space="preserve">leet carbon emissions have increased </w:t>
      </w:r>
      <w:r>
        <w:t xml:space="preserve">over the last two years due to </w:t>
      </w:r>
      <w:r w:rsidR="00A478D9">
        <w:t>the increase</w:t>
      </w:r>
      <w:r w:rsidR="0035444B">
        <w:t xml:space="preserve"> </w:t>
      </w:r>
      <w:r>
        <w:t xml:space="preserve">of </w:t>
      </w:r>
      <w:r w:rsidR="00A478D9">
        <w:t>waste fleet vehicles</w:t>
      </w:r>
      <w:r w:rsidR="0035444B">
        <w:t xml:space="preserve"> </w:t>
      </w:r>
      <w:r w:rsidR="005B17A4">
        <w:t>because of</w:t>
      </w:r>
      <w:r w:rsidR="002F03B5">
        <w:t xml:space="preserve"> the household waste recycling contract being brought in-house.</w:t>
      </w:r>
    </w:p>
    <w:p w14:paraId="2E82089C" w14:textId="30F8A733" w:rsidR="00673917" w:rsidRDefault="003C1FDB" w:rsidP="00B54B54">
      <w:pPr>
        <w:pStyle w:val="ListParagraph"/>
        <w:numPr>
          <w:ilvl w:val="0"/>
          <w:numId w:val="27"/>
        </w:numPr>
        <w:jc w:val="both"/>
      </w:pPr>
      <w:r>
        <w:t xml:space="preserve">Covid19 lockdowns have influenced </w:t>
      </w:r>
      <w:r w:rsidR="00673917">
        <w:t xml:space="preserve">carbon emissions </w:t>
      </w:r>
      <w:r>
        <w:t>by causing red</w:t>
      </w:r>
      <w:r w:rsidR="00673917">
        <w:t>uctions in energy consumed</w:t>
      </w:r>
      <w:r>
        <w:t xml:space="preserve"> by SDDC:</w:t>
      </w:r>
    </w:p>
    <w:p w14:paraId="33CC04E4" w14:textId="7CA88036" w:rsidR="00673917" w:rsidRDefault="0035444B" w:rsidP="00B54B54">
      <w:pPr>
        <w:pStyle w:val="ListParagraph"/>
        <w:numPr>
          <w:ilvl w:val="1"/>
          <w:numId w:val="27"/>
        </w:numPr>
        <w:jc w:val="both"/>
      </w:pPr>
      <w:r>
        <w:t>P</w:t>
      </w:r>
      <w:r w:rsidR="00A907C0">
        <w:t xml:space="preserve">ublic building carbon </w:t>
      </w:r>
      <w:r w:rsidR="003C42D0">
        <w:t>emissions (</w:t>
      </w:r>
      <w:r>
        <w:t xml:space="preserve">gas, electricity and refrigerants) have </w:t>
      </w:r>
      <w:r w:rsidR="002F03B5">
        <w:t xml:space="preserve">reduced </w:t>
      </w:r>
      <w:r w:rsidR="00A907C0">
        <w:t>over the last two years</w:t>
      </w:r>
      <w:r w:rsidR="00A118FA">
        <w:t xml:space="preserve"> as buildings have been closed. </w:t>
      </w:r>
    </w:p>
    <w:p w14:paraId="688E8168" w14:textId="103E73B4" w:rsidR="00673917" w:rsidRDefault="00673917">
      <w:pPr>
        <w:pStyle w:val="ListParagraph"/>
        <w:numPr>
          <w:ilvl w:val="1"/>
          <w:numId w:val="27"/>
        </w:numPr>
        <w:jc w:val="both"/>
      </w:pPr>
      <w:r>
        <w:t xml:space="preserve">Electricity has seen the largest reduction as less employees use light and power in the public buildings </w:t>
      </w:r>
      <w:r w:rsidR="00A118FA">
        <w:t xml:space="preserve">with less people using them. </w:t>
      </w:r>
    </w:p>
    <w:p w14:paraId="46E96B2D" w14:textId="4D76D622" w:rsidR="002F03B5" w:rsidRPr="00B54B54" w:rsidRDefault="002F03B5" w:rsidP="00B54B54">
      <w:pPr>
        <w:jc w:val="both"/>
        <w:rPr>
          <w:b/>
          <w:bCs/>
        </w:rPr>
      </w:pPr>
      <w:r w:rsidRPr="00B54B54">
        <w:rPr>
          <w:b/>
          <w:bCs/>
        </w:rPr>
        <w:t>Fleet emissions are therefore currently the greatest single source of carbon emissions from Council activities.</w:t>
      </w:r>
    </w:p>
    <w:p w14:paraId="4995FE21" w14:textId="3B1371AA" w:rsidR="003C42D0" w:rsidRDefault="003C42D0" w:rsidP="003C42D0">
      <w:pPr>
        <w:pStyle w:val="Heading2"/>
        <w:numPr>
          <w:ilvl w:val="1"/>
          <w:numId w:val="22"/>
        </w:numPr>
      </w:pPr>
      <w:bookmarkStart w:id="10" w:name="_Toc105427813"/>
      <w:r>
        <w:lastRenderedPageBreak/>
        <w:t xml:space="preserve">Public Building carbon emissions by location </w:t>
      </w:r>
      <w:r w:rsidR="00A118FA">
        <w:t>(</w:t>
      </w:r>
      <w:r>
        <w:t>Scope 1 and 2</w:t>
      </w:r>
      <w:r w:rsidR="00AE6F2B">
        <w:t>)</w:t>
      </w:r>
      <w:bookmarkEnd w:id="10"/>
    </w:p>
    <w:p w14:paraId="79023F23" w14:textId="7FFFEBB9" w:rsidR="008A637D" w:rsidRDefault="00A118FA" w:rsidP="0005129C">
      <w:pPr>
        <w:jc w:val="both"/>
        <w:rPr>
          <w:noProof/>
        </w:rPr>
      </w:pPr>
      <w:r>
        <w:t>The combined carbon emissions from the heating and powering of public buildings (gas</w:t>
      </w:r>
      <w:r w:rsidR="00040F08">
        <w:t>,</w:t>
      </w:r>
      <w:r>
        <w:t xml:space="preserve"> electric</w:t>
      </w:r>
      <w:r w:rsidR="00040F08">
        <w:t xml:space="preserve"> and refrigerants</w:t>
      </w:r>
      <w:r>
        <w:t xml:space="preserve">) </w:t>
      </w:r>
      <w:r w:rsidR="00040F08">
        <w:t>contribute 60% of the Council</w:t>
      </w:r>
      <w:r w:rsidR="00D24989">
        <w:t>’</w:t>
      </w:r>
      <w:r w:rsidR="00040F08">
        <w:t>s in-house totals. Reducing the energy consumption of public bu</w:t>
      </w:r>
      <w:r w:rsidR="00AE6F2B">
        <w:t xml:space="preserve">ildings has a significant impact on emission reductions as well as reducing the operating energy costs. </w:t>
      </w:r>
      <w:r w:rsidR="00A216D7">
        <w:t>Figures</w:t>
      </w:r>
      <w:r w:rsidR="008A637D">
        <w:t xml:space="preserve"> 3 and 4 </w:t>
      </w:r>
      <w:r w:rsidR="00AE6F2B">
        <w:t>below show the comparisons between the main Council public buildings:</w:t>
      </w:r>
      <w:r w:rsidR="008A637D" w:rsidRPr="008A637D">
        <w:rPr>
          <w:noProof/>
        </w:rPr>
        <w:t xml:space="preserve"> </w:t>
      </w:r>
    </w:p>
    <w:p w14:paraId="2440FD88" w14:textId="30A720D9" w:rsidR="008A637D" w:rsidRDefault="008A637D" w:rsidP="008A637D">
      <w:pPr>
        <w:rPr>
          <w:b/>
          <w:bCs/>
          <w:noProof/>
        </w:rPr>
      </w:pPr>
      <w:r w:rsidRPr="00B54B54">
        <w:rPr>
          <w:b/>
          <w:bCs/>
          <w:noProof/>
        </w:rPr>
        <w:t>Figure 3: Electricity Carbon Emissions by Building</w:t>
      </w:r>
    </w:p>
    <w:p w14:paraId="16A401E5" w14:textId="5C8712A2" w:rsidR="00EE4B9B" w:rsidRDefault="00EE4B9B" w:rsidP="008A637D">
      <w:pPr>
        <w:rPr>
          <w:noProof/>
        </w:rPr>
      </w:pPr>
      <w:r>
        <w:rPr>
          <w:noProof/>
        </w:rPr>
        <w:drawing>
          <wp:inline distT="0" distB="0" distL="0" distR="0" wp14:anchorId="44E2B4E1" wp14:editId="4C6C9C40">
            <wp:extent cx="5988050" cy="3028950"/>
            <wp:effectExtent l="0" t="0" r="1270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DD40644" w14:textId="77777777" w:rsidR="00F23909" w:rsidRDefault="00F23909" w:rsidP="008A637D">
      <w:pPr>
        <w:rPr>
          <w:noProof/>
        </w:rPr>
      </w:pPr>
    </w:p>
    <w:p w14:paraId="13C44739" w14:textId="68760F03" w:rsidR="00EE4B9B" w:rsidRPr="00B54B54" w:rsidRDefault="00F23909" w:rsidP="008A637D">
      <w:pPr>
        <w:rPr>
          <w:b/>
          <w:bCs/>
          <w:noProof/>
        </w:rPr>
      </w:pPr>
      <w:r w:rsidRPr="00B54B54">
        <w:rPr>
          <w:b/>
          <w:bCs/>
          <w:noProof/>
        </w:rPr>
        <w:t>Figure 4: Natural Gas Carbon Emissions by Building</w:t>
      </w:r>
    </w:p>
    <w:p w14:paraId="6A55163C" w14:textId="5A40CBDD" w:rsidR="00F23909" w:rsidRDefault="00F23909" w:rsidP="008A637D">
      <w:pPr>
        <w:rPr>
          <w:noProof/>
        </w:rPr>
      </w:pPr>
      <w:r>
        <w:rPr>
          <w:noProof/>
        </w:rPr>
        <w:drawing>
          <wp:inline distT="0" distB="0" distL="0" distR="0" wp14:anchorId="02D9C6A3" wp14:editId="77A61D86">
            <wp:extent cx="5988050" cy="3200400"/>
            <wp:effectExtent l="0" t="0" r="1270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248E532" w14:textId="20D16481" w:rsidR="00AE6F2B" w:rsidRPr="00AE6F2B" w:rsidRDefault="00AE6F2B" w:rsidP="00B54B54">
      <w:pPr>
        <w:jc w:val="both"/>
        <w:rPr>
          <w:b/>
          <w:bCs/>
        </w:rPr>
      </w:pPr>
      <w:r>
        <w:rPr>
          <w:b/>
          <w:bCs/>
        </w:rPr>
        <w:lastRenderedPageBreak/>
        <w:t xml:space="preserve">Progress analysis: </w:t>
      </w:r>
    </w:p>
    <w:p w14:paraId="736217C0" w14:textId="3A0CDA2F" w:rsidR="005C2D72" w:rsidRDefault="005C2D72">
      <w:pPr>
        <w:pStyle w:val="ListParagraph"/>
        <w:numPr>
          <w:ilvl w:val="0"/>
          <w:numId w:val="28"/>
        </w:numPr>
        <w:jc w:val="both"/>
      </w:pPr>
      <w:r>
        <w:t>Gas consumption at the six operational locations emits approximately three times the amount of carbon as that caused by electricity consumption.</w:t>
      </w:r>
    </w:p>
    <w:p w14:paraId="272DD700" w14:textId="3F08D635" w:rsidR="005C2D72" w:rsidRPr="005C2D72" w:rsidRDefault="005C2D72" w:rsidP="005C2D72">
      <w:pPr>
        <w:pStyle w:val="ListParagraph"/>
        <w:numPr>
          <w:ilvl w:val="0"/>
          <w:numId w:val="28"/>
        </w:numPr>
      </w:pPr>
      <w:r w:rsidRPr="005C2D72">
        <w:t xml:space="preserve">Overall heating/gas carbon emission have been showing reductions at all locations excepting the </w:t>
      </w:r>
      <w:r>
        <w:t>two l</w:t>
      </w:r>
      <w:r w:rsidRPr="005C2D72">
        <w:t xml:space="preserve">eisure </w:t>
      </w:r>
      <w:r>
        <w:t>c</w:t>
      </w:r>
      <w:r w:rsidRPr="005C2D72">
        <w:t xml:space="preserve">entres (LC’s).  </w:t>
      </w:r>
    </w:p>
    <w:p w14:paraId="78B43231" w14:textId="0D3CC228" w:rsidR="00E45D55" w:rsidRDefault="00E45D55" w:rsidP="00B54B54">
      <w:pPr>
        <w:pStyle w:val="ListParagraph"/>
        <w:numPr>
          <w:ilvl w:val="0"/>
          <w:numId w:val="28"/>
        </w:numPr>
        <w:jc w:val="both"/>
      </w:pPr>
      <w:r>
        <w:t>Overall e</w:t>
      </w:r>
      <w:r w:rsidR="001A24A1">
        <w:t>lectricity carbon emissions have shown a year-on-year decline in all locations</w:t>
      </w:r>
    </w:p>
    <w:p w14:paraId="2D4EA699" w14:textId="66C4F51E" w:rsidR="001A24A1" w:rsidRDefault="007D7E3D" w:rsidP="00B54B54">
      <w:pPr>
        <w:pStyle w:val="ListParagraph"/>
        <w:numPr>
          <w:ilvl w:val="0"/>
          <w:numId w:val="28"/>
        </w:numPr>
        <w:jc w:val="both"/>
      </w:pPr>
      <w:r>
        <w:t xml:space="preserve">Greenbank and Etwall LC’s are </w:t>
      </w:r>
      <w:r w:rsidR="00E45D55">
        <w:t xml:space="preserve">by far </w:t>
      </w:r>
      <w:r>
        <w:t>the highest carbon emitter locations</w:t>
      </w:r>
      <w:r w:rsidR="00E45D55">
        <w:t>.</w:t>
      </w:r>
    </w:p>
    <w:p w14:paraId="69FFA2D4" w14:textId="43FF62CD" w:rsidR="00E45D55" w:rsidRDefault="008965CF" w:rsidP="00B54B54">
      <w:pPr>
        <w:pStyle w:val="ListParagraph"/>
        <w:numPr>
          <w:ilvl w:val="1"/>
          <w:numId w:val="28"/>
        </w:numPr>
        <w:jc w:val="both"/>
      </w:pPr>
      <w:r>
        <w:t>Each</w:t>
      </w:r>
      <w:r w:rsidR="00E45D55">
        <w:t xml:space="preserve"> LC’s </w:t>
      </w:r>
      <w:r>
        <w:t xml:space="preserve">on average </w:t>
      </w:r>
      <w:r w:rsidR="00E45D55">
        <w:t>use</w:t>
      </w:r>
      <w:r>
        <w:t>s</w:t>
      </w:r>
      <w:r w:rsidR="00E45D55">
        <w:t xml:space="preserve"> double the amount of electricity and trip</w:t>
      </w:r>
      <w:r w:rsidR="00F23909">
        <w:t>l</w:t>
      </w:r>
      <w:r w:rsidR="00E45D55">
        <w:t xml:space="preserve">e the amount of heating/gas than the Civic Offices. </w:t>
      </w:r>
    </w:p>
    <w:p w14:paraId="29D97221" w14:textId="2CFC66C7" w:rsidR="007D7E3D" w:rsidRDefault="007D7E3D" w:rsidP="00B54B54">
      <w:pPr>
        <w:pStyle w:val="ListParagraph"/>
        <w:numPr>
          <w:ilvl w:val="1"/>
          <w:numId w:val="28"/>
        </w:numPr>
        <w:jc w:val="both"/>
      </w:pPr>
      <w:r>
        <w:t>Carbon emissions from heating/gas in the LC’s are double that of electricity emissions</w:t>
      </w:r>
    </w:p>
    <w:p w14:paraId="3760D287" w14:textId="05BD39A2" w:rsidR="007D7E3D" w:rsidRDefault="007D7E3D" w:rsidP="00B54B54">
      <w:pPr>
        <w:pStyle w:val="ListParagraph"/>
        <w:numPr>
          <w:ilvl w:val="1"/>
          <w:numId w:val="28"/>
        </w:numPr>
        <w:jc w:val="both"/>
      </w:pPr>
      <w:r>
        <w:t xml:space="preserve">Both LC’s reduced emissions in the first year of Covid lockdown but increased significantly in the second year as they </w:t>
      </w:r>
      <w:r w:rsidR="008965CF">
        <w:t>opened</w:t>
      </w:r>
      <w:r>
        <w:t xml:space="preserve"> to the public </w:t>
      </w:r>
    </w:p>
    <w:p w14:paraId="09BF2F61" w14:textId="0D22BF48" w:rsidR="008965CF" w:rsidRPr="00B54B54" w:rsidRDefault="005C2D72" w:rsidP="00B54B54">
      <w:pPr>
        <w:jc w:val="both"/>
        <w:rPr>
          <w:b/>
          <w:bCs/>
        </w:rPr>
      </w:pPr>
      <w:r w:rsidRPr="00B54B54">
        <w:rPr>
          <w:b/>
          <w:bCs/>
        </w:rPr>
        <w:t>H</w:t>
      </w:r>
      <w:r w:rsidR="008965CF" w:rsidRPr="00B54B54">
        <w:rPr>
          <w:b/>
          <w:bCs/>
        </w:rPr>
        <w:t>eating/gas of the two LC’s are the most significant single contributors to the Council</w:t>
      </w:r>
      <w:r w:rsidR="00D24989">
        <w:rPr>
          <w:b/>
          <w:bCs/>
        </w:rPr>
        <w:t>’</w:t>
      </w:r>
      <w:r w:rsidR="008965CF" w:rsidRPr="00B54B54">
        <w:rPr>
          <w:b/>
          <w:bCs/>
        </w:rPr>
        <w:t xml:space="preserve">s in-house carbon emissions after those of the vehicle fleet. </w:t>
      </w:r>
    </w:p>
    <w:p w14:paraId="2F371062" w14:textId="10A27350" w:rsidR="00353E9B" w:rsidRDefault="00E0278F" w:rsidP="005E4702">
      <w:pPr>
        <w:pStyle w:val="Heading2"/>
        <w:numPr>
          <w:ilvl w:val="1"/>
          <w:numId w:val="22"/>
        </w:numPr>
      </w:pPr>
      <w:bookmarkStart w:id="11" w:name="_Toc105427814"/>
      <w:r>
        <w:t xml:space="preserve">Scope 3 </w:t>
      </w:r>
      <w:r w:rsidR="00D87145">
        <w:t>I</w:t>
      </w:r>
      <w:r w:rsidR="0035444B">
        <w:t>n-house carbon emission sources</w:t>
      </w:r>
      <w:bookmarkEnd w:id="11"/>
    </w:p>
    <w:p w14:paraId="36F749E9" w14:textId="66B67D6E" w:rsidR="005E4702" w:rsidRDefault="008965CF" w:rsidP="00B54B54">
      <w:pPr>
        <w:jc w:val="both"/>
      </w:pPr>
      <w:r>
        <w:t xml:space="preserve">The </w:t>
      </w:r>
      <w:r w:rsidR="00E0278F">
        <w:t>Scope 3 in-house carbon emissions (those caused by in-direct activities) can only be influenced by the Council, unlike Scope 1 and 2 emissions that can be directly controlled. The Scope 3 carbon emissions can be split into those connected to the Council</w:t>
      </w:r>
      <w:r w:rsidR="00D24989">
        <w:t>’</w:t>
      </w:r>
      <w:r w:rsidR="00E0278F">
        <w:t xml:space="preserve">s activities (waste, water, commuting and grey fleet mileage) and those Scope 3 carbon emissions resulting from the </w:t>
      </w:r>
      <w:r w:rsidR="00D87145">
        <w:t>Council</w:t>
      </w:r>
      <w:r w:rsidR="00D24989">
        <w:t>’</w:t>
      </w:r>
      <w:r w:rsidR="00D87145">
        <w:t xml:space="preserve">s procurement of goods and services from its supply chain. </w:t>
      </w:r>
    </w:p>
    <w:p w14:paraId="6750EA73" w14:textId="5AE521DE" w:rsidR="00D87145" w:rsidRPr="00094CE6" w:rsidRDefault="00F23909" w:rsidP="005E4702">
      <w:pPr>
        <w:rPr>
          <w:b/>
          <w:bCs/>
          <w:sz w:val="24"/>
          <w:szCs w:val="24"/>
        </w:rPr>
      </w:pPr>
      <w:r>
        <w:rPr>
          <w:b/>
          <w:bCs/>
          <w:sz w:val="24"/>
          <w:szCs w:val="24"/>
        </w:rPr>
        <w:t xml:space="preserve">Figure 5: </w:t>
      </w:r>
      <w:r w:rsidR="00D87145" w:rsidRPr="00094CE6">
        <w:rPr>
          <w:b/>
          <w:bCs/>
          <w:sz w:val="24"/>
          <w:szCs w:val="24"/>
        </w:rPr>
        <w:t xml:space="preserve">Scope 3 carbon emissions resulting from Council in-house activities </w:t>
      </w:r>
    </w:p>
    <w:p w14:paraId="7382F181" w14:textId="77777777" w:rsidR="00094CE6" w:rsidRDefault="00353E9B" w:rsidP="00353E9B">
      <w:pPr>
        <w:rPr>
          <w:b/>
          <w:bCs/>
          <w:sz w:val="18"/>
          <w:szCs w:val="18"/>
        </w:rPr>
      </w:pPr>
      <w:r>
        <w:rPr>
          <w:noProof/>
        </w:rPr>
        <w:drawing>
          <wp:inline distT="0" distB="0" distL="0" distR="0" wp14:anchorId="030997EA" wp14:editId="70597390">
            <wp:extent cx="6013450" cy="3041650"/>
            <wp:effectExtent l="0" t="0" r="6350" b="63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63597C5" w14:textId="133BADB0" w:rsidR="00D87145" w:rsidRPr="00D87145" w:rsidRDefault="005E4702" w:rsidP="00353E9B">
      <w:pPr>
        <w:rPr>
          <w:b/>
          <w:bCs/>
          <w:sz w:val="18"/>
          <w:szCs w:val="18"/>
        </w:rPr>
      </w:pPr>
      <w:r w:rsidRPr="00D87145">
        <w:rPr>
          <w:b/>
          <w:bCs/>
          <w:sz w:val="18"/>
          <w:szCs w:val="18"/>
        </w:rPr>
        <w:t>Grey Fleet* is the SDDC business mileage of employees using their own vehicles.</w:t>
      </w:r>
    </w:p>
    <w:p w14:paraId="2AB82FE0" w14:textId="77777777" w:rsidR="00090CE5" w:rsidRDefault="00090CE5" w:rsidP="00B54B54">
      <w:pPr>
        <w:jc w:val="both"/>
        <w:rPr>
          <w:b/>
          <w:bCs/>
        </w:rPr>
      </w:pPr>
    </w:p>
    <w:p w14:paraId="71B43D39" w14:textId="77777777" w:rsidR="00090CE5" w:rsidRDefault="00090CE5" w:rsidP="00B54B54">
      <w:pPr>
        <w:jc w:val="both"/>
        <w:rPr>
          <w:b/>
          <w:bCs/>
        </w:rPr>
      </w:pPr>
    </w:p>
    <w:p w14:paraId="43881B6D" w14:textId="77116748" w:rsidR="005E4702" w:rsidRDefault="00D87145" w:rsidP="00B54B54">
      <w:pPr>
        <w:jc w:val="both"/>
      </w:pPr>
      <w:r>
        <w:rPr>
          <w:b/>
          <w:bCs/>
        </w:rPr>
        <w:lastRenderedPageBreak/>
        <w:t>Progress analysis:</w:t>
      </w:r>
      <w:r w:rsidR="005E4702">
        <w:t xml:space="preserve"> </w:t>
      </w:r>
    </w:p>
    <w:p w14:paraId="4311F1D7" w14:textId="52B759D4" w:rsidR="00444CE6" w:rsidRDefault="00444CE6">
      <w:pPr>
        <w:pStyle w:val="ListParagraph"/>
        <w:numPr>
          <w:ilvl w:val="0"/>
          <w:numId w:val="29"/>
        </w:numPr>
        <w:jc w:val="both"/>
      </w:pPr>
      <w:r>
        <w:t>Scope 3 in-house carbon emissions are relatively small.</w:t>
      </w:r>
    </w:p>
    <w:p w14:paraId="26BC1DD7" w14:textId="5A0D1600" w:rsidR="00094CE6" w:rsidRDefault="00094CE6" w:rsidP="00B54B54">
      <w:pPr>
        <w:pStyle w:val="ListParagraph"/>
        <w:numPr>
          <w:ilvl w:val="0"/>
          <w:numId w:val="29"/>
        </w:numPr>
        <w:jc w:val="both"/>
      </w:pPr>
      <w:r>
        <w:t>Scope 3 carbon emissions from Commuting and Grey Fleet mileage are the most significant.</w:t>
      </w:r>
    </w:p>
    <w:p w14:paraId="3E773A07" w14:textId="200972AC" w:rsidR="005A1EF8" w:rsidRDefault="005A1EF8" w:rsidP="00B54B54">
      <w:pPr>
        <w:pStyle w:val="ListParagraph"/>
        <w:numPr>
          <w:ilvl w:val="0"/>
          <w:numId w:val="29"/>
        </w:numPr>
        <w:jc w:val="both"/>
      </w:pPr>
      <w:r>
        <w:t xml:space="preserve">All Scope 3 carbon emissions reduced </w:t>
      </w:r>
      <w:r w:rsidR="00E039F5">
        <w:t>because of</w:t>
      </w:r>
      <w:r w:rsidR="00094CE6">
        <w:t xml:space="preserve"> the Covid19 lockdown. </w:t>
      </w:r>
    </w:p>
    <w:p w14:paraId="3A52A00A" w14:textId="25224A51" w:rsidR="005A1EF8" w:rsidRDefault="005A1EF8" w:rsidP="00B54B54">
      <w:pPr>
        <w:pStyle w:val="ListParagraph"/>
        <w:numPr>
          <w:ilvl w:val="0"/>
          <w:numId w:val="29"/>
        </w:numPr>
        <w:jc w:val="both"/>
      </w:pPr>
      <w:r>
        <w:t xml:space="preserve">Carbon emissions from employees commuting to work has reduced by over 50% for the past two years </w:t>
      </w:r>
      <w:r w:rsidR="00901B57">
        <w:t>because of</w:t>
      </w:r>
      <w:r>
        <w:t xml:space="preserve"> Covid lockdown and working from home. </w:t>
      </w:r>
    </w:p>
    <w:p w14:paraId="79DC0B70" w14:textId="11A64864" w:rsidR="005A1EF8" w:rsidRDefault="005A1EF8" w:rsidP="00B54B54">
      <w:pPr>
        <w:pStyle w:val="ListParagraph"/>
        <w:numPr>
          <w:ilvl w:val="0"/>
          <w:numId w:val="29"/>
        </w:numPr>
        <w:jc w:val="both"/>
      </w:pPr>
      <w:r>
        <w:t xml:space="preserve">Grey mileage reduced by 50% in the first year of </w:t>
      </w:r>
      <w:r w:rsidR="002B124B">
        <w:t>lockdown but</w:t>
      </w:r>
      <w:r>
        <w:t xml:space="preserve"> has increased by almost 10% in the last financial year. </w:t>
      </w:r>
    </w:p>
    <w:p w14:paraId="51567AC0" w14:textId="0458FAA8" w:rsidR="00293805" w:rsidRDefault="005A1EF8" w:rsidP="00B54B54">
      <w:pPr>
        <w:pStyle w:val="ListParagraph"/>
        <w:numPr>
          <w:ilvl w:val="0"/>
          <w:numId w:val="29"/>
        </w:numPr>
        <w:jc w:val="both"/>
      </w:pPr>
      <w:r>
        <w:t>Carbon emissions from water have reduced</w:t>
      </w:r>
      <w:r w:rsidR="002B124B">
        <w:t xml:space="preserve"> with increased numbers of employees working from hom</w:t>
      </w:r>
      <w:r w:rsidR="00094CE6">
        <w:t>e.</w:t>
      </w:r>
    </w:p>
    <w:p w14:paraId="6494B14E" w14:textId="05F43524" w:rsidR="00094CE6" w:rsidRPr="00094CE6" w:rsidRDefault="00094CE6" w:rsidP="00B54B54">
      <w:pPr>
        <w:jc w:val="both"/>
        <w:rPr>
          <w:b/>
          <w:bCs/>
          <w:sz w:val="24"/>
          <w:szCs w:val="24"/>
        </w:rPr>
      </w:pPr>
      <w:r>
        <w:rPr>
          <w:b/>
          <w:bCs/>
          <w:sz w:val="24"/>
          <w:szCs w:val="24"/>
        </w:rPr>
        <w:t>Scope 3 carbon emissions resulting from the Council</w:t>
      </w:r>
      <w:r w:rsidR="00444CE6">
        <w:rPr>
          <w:b/>
          <w:bCs/>
          <w:sz w:val="24"/>
          <w:szCs w:val="24"/>
        </w:rPr>
        <w:t>’</w:t>
      </w:r>
      <w:r>
        <w:rPr>
          <w:b/>
          <w:bCs/>
          <w:sz w:val="24"/>
          <w:szCs w:val="24"/>
        </w:rPr>
        <w:t>s Supply Chain</w:t>
      </w:r>
    </w:p>
    <w:p w14:paraId="5EF81479" w14:textId="2A9DAE84" w:rsidR="00293805" w:rsidRDefault="00293805" w:rsidP="00B54B54">
      <w:pPr>
        <w:jc w:val="both"/>
      </w:pPr>
      <w:r>
        <w:t xml:space="preserve">The other element of Scope 3 carbon emissions </w:t>
      </w:r>
      <w:r w:rsidR="00901B57">
        <w:t>is t</w:t>
      </w:r>
      <w:r>
        <w:t>hose resulting from the SDDC Supply Chain</w:t>
      </w:r>
      <w:r w:rsidR="00901B57">
        <w:t xml:space="preserve"> -    tho</w:t>
      </w:r>
      <w:r w:rsidR="00BB2213">
        <w:t xml:space="preserve">se </w:t>
      </w:r>
      <w:r w:rsidR="00901B57">
        <w:t xml:space="preserve">generated by other organisations as part of the process of providing goods and services to </w:t>
      </w:r>
      <w:r w:rsidR="00D24989">
        <w:t>the Council</w:t>
      </w:r>
      <w:r>
        <w:t xml:space="preserve">. </w:t>
      </w:r>
      <w:r w:rsidR="00E02A7F">
        <w:t xml:space="preserve"> </w:t>
      </w:r>
      <w:r w:rsidR="00084AA7">
        <w:t xml:space="preserve">The table below shows the </w:t>
      </w:r>
      <w:r w:rsidR="000B2AE7">
        <w:t xml:space="preserve">estimated </w:t>
      </w:r>
      <w:r w:rsidR="00084AA7">
        <w:t>carbon emissions from the Council</w:t>
      </w:r>
      <w:r w:rsidR="00D24989">
        <w:t>’</w:t>
      </w:r>
      <w:r w:rsidR="00084AA7">
        <w:t xml:space="preserve">s supply chain over the last four years. </w:t>
      </w:r>
    </w:p>
    <w:tbl>
      <w:tblPr>
        <w:tblStyle w:val="TableGrid"/>
        <w:tblW w:w="0" w:type="auto"/>
        <w:tblLook w:val="04A0" w:firstRow="1" w:lastRow="0" w:firstColumn="1" w:lastColumn="0" w:noHBand="0" w:noVBand="1"/>
      </w:tblPr>
      <w:tblGrid>
        <w:gridCol w:w="3964"/>
        <w:gridCol w:w="1418"/>
        <w:gridCol w:w="1417"/>
        <w:gridCol w:w="1418"/>
        <w:gridCol w:w="1519"/>
      </w:tblGrid>
      <w:tr w:rsidR="00901B57" w14:paraId="26D0A5BD" w14:textId="77777777" w:rsidTr="00084AA7">
        <w:tc>
          <w:tcPr>
            <w:tcW w:w="3964" w:type="dxa"/>
            <w:shd w:val="clear" w:color="auto" w:fill="D9D9D9" w:themeFill="background1" w:themeFillShade="D9"/>
          </w:tcPr>
          <w:p w14:paraId="3D57C996" w14:textId="72D8B4CD" w:rsidR="00901B57" w:rsidRPr="00084AA7" w:rsidRDefault="00084AA7" w:rsidP="00293805">
            <w:pPr>
              <w:rPr>
                <w:b/>
                <w:bCs/>
              </w:rPr>
            </w:pPr>
            <w:r w:rsidRPr="00084AA7">
              <w:rPr>
                <w:b/>
                <w:bCs/>
              </w:rPr>
              <w:t>Scope 3</w:t>
            </w:r>
          </w:p>
        </w:tc>
        <w:tc>
          <w:tcPr>
            <w:tcW w:w="1418" w:type="dxa"/>
            <w:shd w:val="clear" w:color="auto" w:fill="D9D9D9" w:themeFill="background1" w:themeFillShade="D9"/>
          </w:tcPr>
          <w:p w14:paraId="6BDD5CED" w14:textId="2BACC212" w:rsidR="00901B57" w:rsidRPr="00084AA7" w:rsidRDefault="00901B57" w:rsidP="00293805">
            <w:pPr>
              <w:rPr>
                <w:b/>
                <w:bCs/>
              </w:rPr>
            </w:pPr>
            <w:r w:rsidRPr="00084AA7">
              <w:rPr>
                <w:b/>
                <w:bCs/>
              </w:rPr>
              <w:t>2018/19</w:t>
            </w:r>
          </w:p>
        </w:tc>
        <w:tc>
          <w:tcPr>
            <w:tcW w:w="1417" w:type="dxa"/>
            <w:shd w:val="clear" w:color="auto" w:fill="D9D9D9" w:themeFill="background1" w:themeFillShade="D9"/>
          </w:tcPr>
          <w:p w14:paraId="2642DD58" w14:textId="6A7B78F4" w:rsidR="00901B57" w:rsidRPr="00084AA7" w:rsidRDefault="00901B57" w:rsidP="00293805">
            <w:pPr>
              <w:rPr>
                <w:b/>
                <w:bCs/>
              </w:rPr>
            </w:pPr>
            <w:r w:rsidRPr="00084AA7">
              <w:rPr>
                <w:b/>
                <w:bCs/>
              </w:rPr>
              <w:t>2019/20</w:t>
            </w:r>
          </w:p>
        </w:tc>
        <w:tc>
          <w:tcPr>
            <w:tcW w:w="1418" w:type="dxa"/>
            <w:shd w:val="clear" w:color="auto" w:fill="D9D9D9" w:themeFill="background1" w:themeFillShade="D9"/>
          </w:tcPr>
          <w:p w14:paraId="6E324C83" w14:textId="4917053D" w:rsidR="00901B57" w:rsidRPr="00084AA7" w:rsidRDefault="00901B57" w:rsidP="00293805">
            <w:pPr>
              <w:rPr>
                <w:b/>
                <w:bCs/>
              </w:rPr>
            </w:pPr>
            <w:r w:rsidRPr="00084AA7">
              <w:rPr>
                <w:b/>
                <w:bCs/>
              </w:rPr>
              <w:t>2020/21</w:t>
            </w:r>
          </w:p>
        </w:tc>
        <w:tc>
          <w:tcPr>
            <w:tcW w:w="1519" w:type="dxa"/>
            <w:shd w:val="clear" w:color="auto" w:fill="D9D9D9" w:themeFill="background1" w:themeFillShade="D9"/>
          </w:tcPr>
          <w:p w14:paraId="1AAE2BBD" w14:textId="5D0B5A6E" w:rsidR="00901B57" w:rsidRPr="00084AA7" w:rsidRDefault="00901B57" w:rsidP="00293805">
            <w:pPr>
              <w:rPr>
                <w:b/>
                <w:bCs/>
              </w:rPr>
            </w:pPr>
            <w:r w:rsidRPr="00084AA7">
              <w:rPr>
                <w:b/>
                <w:bCs/>
              </w:rPr>
              <w:t>2021/22</w:t>
            </w:r>
          </w:p>
        </w:tc>
      </w:tr>
      <w:tr w:rsidR="00901B57" w14:paraId="043779D9" w14:textId="77777777" w:rsidTr="00084AA7">
        <w:tc>
          <w:tcPr>
            <w:tcW w:w="3964" w:type="dxa"/>
          </w:tcPr>
          <w:p w14:paraId="2D73005B" w14:textId="2A91AFB7" w:rsidR="00901B57" w:rsidRDefault="00901B57" w:rsidP="00B54B54">
            <w:pPr>
              <w:spacing w:before="120" w:after="120"/>
            </w:pPr>
            <w:r>
              <w:t xml:space="preserve">Supply Chain carbon emissions </w:t>
            </w:r>
          </w:p>
        </w:tc>
        <w:tc>
          <w:tcPr>
            <w:tcW w:w="1418" w:type="dxa"/>
          </w:tcPr>
          <w:p w14:paraId="2FE15B7B" w14:textId="7D74DED0" w:rsidR="00901B57" w:rsidRDefault="00BB2213" w:rsidP="00B54B54">
            <w:pPr>
              <w:spacing w:before="120" w:after="120"/>
            </w:pPr>
            <w:r>
              <w:t>6192 tCO2e</w:t>
            </w:r>
          </w:p>
        </w:tc>
        <w:tc>
          <w:tcPr>
            <w:tcW w:w="1417" w:type="dxa"/>
          </w:tcPr>
          <w:p w14:paraId="737F4EE7" w14:textId="72BEC3D7" w:rsidR="00901B57" w:rsidRDefault="00BB2213" w:rsidP="00B54B54">
            <w:pPr>
              <w:spacing w:before="120" w:after="120"/>
            </w:pPr>
            <w:r>
              <w:t>6145 tCO2e</w:t>
            </w:r>
          </w:p>
        </w:tc>
        <w:tc>
          <w:tcPr>
            <w:tcW w:w="1418" w:type="dxa"/>
          </w:tcPr>
          <w:p w14:paraId="7602F039" w14:textId="333AD730" w:rsidR="00901B57" w:rsidRDefault="00BB2213" w:rsidP="00B54B54">
            <w:pPr>
              <w:spacing w:before="120" w:after="120"/>
            </w:pPr>
            <w:r>
              <w:t>8131</w:t>
            </w:r>
            <w:r w:rsidR="00084AA7">
              <w:t xml:space="preserve"> </w:t>
            </w:r>
            <w:r>
              <w:t>tCO2e</w:t>
            </w:r>
          </w:p>
        </w:tc>
        <w:tc>
          <w:tcPr>
            <w:tcW w:w="1519" w:type="dxa"/>
          </w:tcPr>
          <w:p w14:paraId="69C6A1BB" w14:textId="735E23A7" w:rsidR="00901B57" w:rsidRDefault="00BB2213" w:rsidP="00B54B54">
            <w:pPr>
              <w:spacing w:before="120" w:after="120"/>
            </w:pPr>
            <w:r>
              <w:t xml:space="preserve">8148 tCO2e </w:t>
            </w:r>
          </w:p>
        </w:tc>
      </w:tr>
    </w:tbl>
    <w:p w14:paraId="5A4F2D82" w14:textId="77777777" w:rsidR="00084AA7" w:rsidRDefault="00084AA7" w:rsidP="00293805">
      <w:r>
        <w:t xml:space="preserve"> </w:t>
      </w:r>
    </w:p>
    <w:p w14:paraId="389B8C1C" w14:textId="7192EC4B" w:rsidR="00084AA7" w:rsidRDefault="00084AA7" w:rsidP="00B54B54">
      <w:pPr>
        <w:jc w:val="both"/>
        <w:rPr>
          <w:b/>
          <w:bCs/>
        </w:rPr>
      </w:pPr>
      <w:r>
        <w:rPr>
          <w:b/>
          <w:bCs/>
        </w:rPr>
        <w:t>Progress analysis:</w:t>
      </w:r>
    </w:p>
    <w:p w14:paraId="12045BD7" w14:textId="3FFCD89E" w:rsidR="00084AA7" w:rsidRPr="00084AA7" w:rsidRDefault="00084AA7" w:rsidP="00B54B54">
      <w:pPr>
        <w:jc w:val="both"/>
      </w:pPr>
      <w:r>
        <w:t>Scope 3 Supply Chain emissions are not included as part of the Council</w:t>
      </w:r>
      <w:r w:rsidR="00D24989">
        <w:t>’</w:t>
      </w:r>
      <w:r>
        <w:t>s commitment to carbon neutral by 2030</w:t>
      </w:r>
      <w:r w:rsidR="000B2AE7">
        <w:t xml:space="preserve">, as the Council has no direct control over its suppliers’ operations. However, they are significant and as such should be reported on: </w:t>
      </w:r>
    </w:p>
    <w:p w14:paraId="2E7C68EA" w14:textId="2363274E" w:rsidR="00A579A6" w:rsidRDefault="00A579A6" w:rsidP="00B54B54">
      <w:pPr>
        <w:pStyle w:val="ListParagraph"/>
        <w:numPr>
          <w:ilvl w:val="0"/>
          <w:numId w:val="33"/>
        </w:numPr>
        <w:jc w:val="both"/>
      </w:pPr>
      <w:r>
        <w:t xml:space="preserve">Supply Chain carbon emissions are estimated to be over </w:t>
      </w:r>
      <w:r w:rsidR="00D24989">
        <w:t>three</w:t>
      </w:r>
      <w:r>
        <w:t xml:space="preserve"> times larger than the SDDC In-house Scope 1 and 2 carbon emissions </w:t>
      </w:r>
    </w:p>
    <w:p w14:paraId="66F69441" w14:textId="48E5C340" w:rsidR="006261DC" w:rsidRDefault="00BB2213" w:rsidP="00B54B54">
      <w:pPr>
        <w:pStyle w:val="ListParagraph"/>
        <w:numPr>
          <w:ilvl w:val="0"/>
          <w:numId w:val="33"/>
        </w:numPr>
        <w:jc w:val="both"/>
      </w:pPr>
      <w:r>
        <w:t xml:space="preserve">Supply Chain carbon emissions are increasing year on year </w:t>
      </w:r>
    </w:p>
    <w:p w14:paraId="31803B6D" w14:textId="4E645B14" w:rsidR="00174E5C" w:rsidRDefault="00174E5C" w:rsidP="00B54B54">
      <w:pPr>
        <w:pStyle w:val="ListParagraph"/>
        <w:numPr>
          <w:ilvl w:val="0"/>
          <w:numId w:val="33"/>
        </w:numPr>
        <w:jc w:val="both"/>
      </w:pPr>
      <w:r>
        <w:t xml:space="preserve">The </w:t>
      </w:r>
      <w:r w:rsidR="000B2AE7">
        <w:t xml:space="preserve">spiked </w:t>
      </w:r>
      <w:r>
        <w:t>increases in 2020/21 and 2021/22 are a result of large ticket spend items</w:t>
      </w:r>
    </w:p>
    <w:p w14:paraId="210D6417" w14:textId="1AC9FB77" w:rsidR="006261DC" w:rsidRDefault="006261DC" w:rsidP="006261DC">
      <w:pPr>
        <w:pStyle w:val="Heading1"/>
        <w:numPr>
          <w:ilvl w:val="0"/>
          <w:numId w:val="22"/>
        </w:numPr>
      </w:pPr>
      <w:bookmarkStart w:id="12" w:name="_Toc105427815"/>
      <w:r>
        <w:t>South Derbyshire District</w:t>
      </w:r>
      <w:r w:rsidR="00901B57">
        <w:t xml:space="preserve">-wide </w:t>
      </w:r>
      <w:r>
        <w:t>carbon emission estimates</w:t>
      </w:r>
      <w:bookmarkEnd w:id="12"/>
      <w:r>
        <w:t xml:space="preserve"> </w:t>
      </w:r>
    </w:p>
    <w:p w14:paraId="38101371" w14:textId="2DE7AC7C" w:rsidR="00FB44AD" w:rsidRDefault="00FB44AD" w:rsidP="00B54B54">
      <w:pPr>
        <w:jc w:val="both"/>
      </w:pPr>
      <w:r>
        <w:t xml:space="preserve">As well as the Council commitment to reducing its in-house carbon emissions to carbon neutral by 2030, it has also committed to striving to support the reduction of its </w:t>
      </w:r>
      <w:r w:rsidR="00D24989">
        <w:t>D</w:t>
      </w:r>
      <w:r>
        <w:t xml:space="preserve">istrict-wide carbon emissions to carbon neutral by 2050 in line with the UK Governments target legislation. </w:t>
      </w:r>
    </w:p>
    <w:p w14:paraId="3C38CC05" w14:textId="151ED280" w:rsidR="003D4D91" w:rsidRDefault="003D4D91" w:rsidP="00B54B54">
      <w:pPr>
        <w:jc w:val="both"/>
      </w:pPr>
      <w:r>
        <w:t xml:space="preserve">Local Authority carbon emission reporting is completed by the Office of National Statistics and gives the annual carbon emissions in </w:t>
      </w:r>
      <w:r w:rsidR="00444CE6">
        <w:t>ktCO</w:t>
      </w:r>
      <w:r w:rsidR="00444CE6" w:rsidRPr="00B54B54">
        <w:rPr>
          <w:vertAlign w:val="subscript"/>
        </w:rPr>
        <w:t>2</w:t>
      </w:r>
      <w:r w:rsidR="00444CE6">
        <w:t xml:space="preserve"> </w:t>
      </w:r>
      <w:r>
        <w:t xml:space="preserve">categorised into the sectors whose activities result in carbon emissions. </w:t>
      </w:r>
    </w:p>
    <w:p w14:paraId="52C4D9EA" w14:textId="7E3CCCB3" w:rsidR="003D4D91" w:rsidRDefault="003D4D91">
      <w:pPr>
        <w:jc w:val="both"/>
      </w:pPr>
      <w:r>
        <w:t xml:space="preserve">The </w:t>
      </w:r>
      <w:r w:rsidR="00D24989">
        <w:t>D</w:t>
      </w:r>
      <w:r>
        <w:t xml:space="preserve">istrict-wide carbon emissions for the South Derbyshire district are shown in </w:t>
      </w:r>
      <w:r w:rsidR="00444CE6">
        <w:t>Table 3</w:t>
      </w:r>
      <w:r>
        <w:t xml:space="preserve"> below: </w:t>
      </w:r>
    </w:p>
    <w:p w14:paraId="7D85EB8E" w14:textId="77777777" w:rsidR="00090CE5" w:rsidRDefault="00090CE5">
      <w:pPr>
        <w:jc w:val="both"/>
      </w:pPr>
    </w:p>
    <w:p w14:paraId="151BD0BB" w14:textId="77777777" w:rsidR="00090CE5" w:rsidRDefault="00090CE5" w:rsidP="00B54B54">
      <w:pPr>
        <w:spacing w:after="0"/>
        <w:jc w:val="both"/>
        <w:rPr>
          <w:b/>
          <w:bCs/>
        </w:rPr>
      </w:pPr>
    </w:p>
    <w:p w14:paraId="0F88F767" w14:textId="1719EB30" w:rsidR="00444CE6" w:rsidRPr="00B54B54" w:rsidRDefault="00444CE6" w:rsidP="00B54B54">
      <w:pPr>
        <w:spacing w:after="0"/>
        <w:jc w:val="both"/>
        <w:rPr>
          <w:b/>
          <w:bCs/>
        </w:rPr>
      </w:pPr>
      <w:r w:rsidRPr="00B54B54">
        <w:rPr>
          <w:b/>
          <w:bCs/>
        </w:rPr>
        <w:lastRenderedPageBreak/>
        <w:t>Table 3: Annual Carbon Emissions by Sector in South Derbyshire</w:t>
      </w:r>
      <w:r w:rsidR="00090CE5">
        <w:rPr>
          <w:b/>
          <w:bCs/>
        </w:rPr>
        <w:t xml:space="preserve"> (data from BEIS)</w:t>
      </w:r>
    </w:p>
    <w:tbl>
      <w:tblPr>
        <w:tblStyle w:val="TableGrid"/>
        <w:tblW w:w="0" w:type="auto"/>
        <w:tblLook w:val="04A0" w:firstRow="1" w:lastRow="0" w:firstColumn="1" w:lastColumn="0" w:noHBand="0" w:noVBand="1"/>
      </w:tblPr>
      <w:tblGrid>
        <w:gridCol w:w="4531"/>
        <w:gridCol w:w="1843"/>
        <w:gridCol w:w="1701"/>
        <w:gridCol w:w="1661"/>
      </w:tblGrid>
      <w:tr w:rsidR="00E034B3" w14:paraId="1E72BFB2" w14:textId="77777777" w:rsidTr="00435113">
        <w:tc>
          <w:tcPr>
            <w:tcW w:w="4531" w:type="dxa"/>
            <w:shd w:val="clear" w:color="auto" w:fill="D9D9D9" w:themeFill="background1" w:themeFillShade="D9"/>
          </w:tcPr>
          <w:p w14:paraId="5F17C1BF" w14:textId="011D74CE" w:rsidR="00E034B3" w:rsidRPr="003D4D91" w:rsidRDefault="008256FF" w:rsidP="0023384F">
            <w:pPr>
              <w:rPr>
                <w:b/>
                <w:bCs/>
              </w:rPr>
            </w:pPr>
            <w:r w:rsidRPr="003D4D91">
              <w:rPr>
                <w:b/>
                <w:bCs/>
              </w:rPr>
              <w:t xml:space="preserve">Sector carbon emissions </w:t>
            </w:r>
            <w:r w:rsidR="00E034B3" w:rsidRPr="003D4D91">
              <w:rPr>
                <w:b/>
                <w:bCs/>
              </w:rPr>
              <w:t>(kt CO2)</w:t>
            </w:r>
          </w:p>
        </w:tc>
        <w:tc>
          <w:tcPr>
            <w:tcW w:w="1843" w:type="dxa"/>
            <w:shd w:val="clear" w:color="auto" w:fill="D9D9D9" w:themeFill="background1" w:themeFillShade="D9"/>
          </w:tcPr>
          <w:p w14:paraId="2D70B59F" w14:textId="77777777" w:rsidR="00E034B3" w:rsidRPr="003D4D91" w:rsidRDefault="00E034B3" w:rsidP="0023384F">
            <w:pPr>
              <w:rPr>
                <w:b/>
                <w:bCs/>
              </w:rPr>
            </w:pPr>
            <w:r w:rsidRPr="003D4D91">
              <w:rPr>
                <w:b/>
                <w:bCs/>
              </w:rPr>
              <w:t>2017/18</w:t>
            </w:r>
          </w:p>
        </w:tc>
        <w:tc>
          <w:tcPr>
            <w:tcW w:w="1701" w:type="dxa"/>
            <w:shd w:val="clear" w:color="auto" w:fill="D9D9D9" w:themeFill="background1" w:themeFillShade="D9"/>
          </w:tcPr>
          <w:p w14:paraId="57F46A8E" w14:textId="77777777" w:rsidR="00E034B3" w:rsidRPr="003D4D91" w:rsidRDefault="00E034B3" w:rsidP="0023384F">
            <w:pPr>
              <w:rPr>
                <w:b/>
                <w:bCs/>
              </w:rPr>
            </w:pPr>
            <w:r w:rsidRPr="003D4D91">
              <w:rPr>
                <w:b/>
                <w:bCs/>
              </w:rPr>
              <w:t>2018/19</w:t>
            </w:r>
          </w:p>
        </w:tc>
        <w:tc>
          <w:tcPr>
            <w:tcW w:w="1661" w:type="dxa"/>
            <w:shd w:val="clear" w:color="auto" w:fill="D9D9D9" w:themeFill="background1" w:themeFillShade="D9"/>
          </w:tcPr>
          <w:p w14:paraId="56A8A29A" w14:textId="77777777" w:rsidR="00E034B3" w:rsidRPr="003D4D91" w:rsidRDefault="00E034B3" w:rsidP="0023384F">
            <w:pPr>
              <w:rPr>
                <w:b/>
                <w:bCs/>
              </w:rPr>
            </w:pPr>
            <w:r w:rsidRPr="003D4D91">
              <w:rPr>
                <w:b/>
                <w:bCs/>
              </w:rPr>
              <w:t xml:space="preserve">2019/20 </w:t>
            </w:r>
          </w:p>
        </w:tc>
      </w:tr>
      <w:tr w:rsidR="00E034B3" w14:paraId="20D04C31" w14:textId="77777777" w:rsidTr="008256FF">
        <w:tc>
          <w:tcPr>
            <w:tcW w:w="4531" w:type="dxa"/>
          </w:tcPr>
          <w:p w14:paraId="3330C9A9" w14:textId="77777777" w:rsidR="00E034B3" w:rsidRDefault="00E034B3" w:rsidP="0023384F">
            <w:r>
              <w:t xml:space="preserve">Industry </w:t>
            </w:r>
          </w:p>
        </w:tc>
        <w:tc>
          <w:tcPr>
            <w:tcW w:w="1843" w:type="dxa"/>
          </w:tcPr>
          <w:p w14:paraId="71B5227F" w14:textId="3F7DB06F" w:rsidR="00E034B3" w:rsidRDefault="00E034B3" w:rsidP="0023384F">
            <w:r>
              <w:t>1</w:t>
            </w:r>
            <w:r w:rsidR="00CF04C5">
              <w:t>37</w:t>
            </w:r>
          </w:p>
        </w:tc>
        <w:tc>
          <w:tcPr>
            <w:tcW w:w="1701" w:type="dxa"/>
          </w:tcPr>
          <w:p w14:paraId="4CF954A0" w14:textId="1E2A37E8" w:rsidR="00E034B3" w:rsidRDefault="00E034B3" w:rsidP="0023384F">
            <w:r>
              <w:t>1</w:t>
            </w:r>
            <w:r w:rsidR="00CF04C5">
              <w:t>35</w:t>
            </w:r>
          </w:p>
        </w:tc>
        <w:tc>
          <w:tcPr>
            <w:tcW w:w="1661" w:type="dxa"/>
          </w:tcPr>
          <w:p w14:paraId="14306CF2" w14:textId="55B7AA53" w:rsidR="00E034B3" w:rsidRDefault="00E034B3" w:rsidP="0023384F">
            <w:r>
              <w:t>1</w:t>
            </w:r>
            <w:r w:rsidR="00CF04C5">
              <w:t>24</w:t>
            </w:r>
            <w:r w:rsidR="00C32C9D">
              <w:t xml:space="preserve"> (-9%)</w:t>
            </w:r>
          </w:p>
        </w:tc>
      </w:tr>
      <w:tr w:rsidR="00E034B3" w14:paraId="12097AC5" w14:textId="77777777" w:rsidTr="008256FF">
        <w:tc>
          <w:tcPr>
            <w:tcW w:w="4531" w:type="dxa"/>
          </w:tcPr>
          <w:p w14:paraId="7207CA31" w14:textId="77777777" w:rsidR="00E034B3" w:rsidRDefault="00E034B3" w:rsidP="0023384F">
            <w:r>
              <w:t>Agriculture</w:t>
            </w:r>
          </w:p>
        </w:tc>
        <w:tc>
          <w:tcPr>
            <w:tcW w:w="1843" w:type="dxa"/>
          </w:tcPr>
          <w:p w14:paraId="2FE4A433" w14:textId="7FEB8DF4" w:rsidR="00E034B3" w:rsidRDefault="00CF04C5" w:rsidP="0023384F">
            <w:r>
              <w:t>8.8</w:t>
            </w:r>
          </w:p>
        </w:tc>
        <w:tc>
          <w:tcPr>
            <w:tcW w:w="1701" w:type="dxa"/>
          </w:tcPr>
          <w:p w14:paraId="717C0FAB" w14:textId="3EC41C18" w:rsidR="00E034B3" w:rsidRDefault="00CF04C5" w:rsidP="0023384F">
            <w:r>
              <w:t>8.7</w:t>
            </w:r>
          </w:p>
        </w:tc>
        <w:tc>
          <w:tcPr>
            <w:tcW w:w="1661" w:type="dxa"/>
          </w:tcPr>
          <w:p w14:paraId="3F71F67A" w14:textId="7DD8ABF1" w:rsidR="00E034B3" w:rsidRDefault="00CF04C5" w:rsidP="0023384F">
            <w:r>
              <w:t>8.8</w:t>
            </w:r>
            <w:r w:rsidR="00C32C9D">
              <w:t xml:space="preserve"> (0)</w:t>
            </w:r>
          </w:p>
        </w:tc>
      </w:tr>
      <w:tr w:rsidR="00E034B3" w14:paraId="3260E5B3" w14:textId="77777777" w:rsidTr="008256FF">
        <w:tc>
          <w:tcPr>
            <w:tcW w:w="4531" w:type="dxa"/>
          </w:tcPr>
          <w:p w14:paraId="10B77FE2" w14:textId="77777777" w:rsidR="00E034B3" w:rsidRDefault="00E034B3" w:rsidP="0023384F">
            <w:r>
              <w:t>Commercial</w:t>
            </w:r>
          </w:p>
        </w:tc>
        <w:tc>
          <w:tcPr>
            <w:tcW w:w="1843" w:type="dxa"/>
          </w:tcPr>
          <w:p w14:paraId="6AB1A9EF" w14:textId="70361C41" w:rsidR="00E034B3" w:rsidRDefault="00E034B3" w:rsidP="0023384F">
            <w:r>
              <w:t>5</w:t>
            </w:r>
            <w:r w:rsidR="00CF04C5">
              <w:t>2</w:t>
            </w:r>
          </w:p>
        </w:tc>
        <w:tc>
          <w:tcPr>
            <w:tcW w:w="1701" w:type="dxa"/>
          </w:tcPr>
          <w:p w14:paraId="3CD135CD" w14:textId="77777777" w:rsidR="00E034B3" w:rsidRDefault="00E034B3" w:rsidP="0023384F">
            <w:r>
              <w:t>49</w:t>
            </w:r>
          </w:p>
        </w:tc>
        <w:tc>
          <w:tcPr>
            <w:tcW w:w="1661" w:type="dxa"/>
          </w:tcPr>
          <w:p w14:paraId="4109DC9A" w14:textId="6042792F" w:rsidR="00E034B3" w:rsidRDefault="00E034B3" w:rsidP="0023384F">
            <w:r>
              <w:t>44</w:t>
            </w:r>
            <w:r w:rsidR="00C32C9D">
              <w:t xml:space="preserve"> (-24%)</w:t>
            </w:r>
          </w:p>
        </w:tc>
      </w:tr>
      <w:tr w:rsidR="00E034B3" w14:paraId="2816BE5D" w14:textId="77777777" w:rsidTr="008256FF">
        <w:tc>
          <w:tcPr>
            <w:tcW w:w="4531" w:type="dxa"/>
          </w:tcPr>
          <w:p w14:paraId="4A58D121" w14:textId="77777777" w:rsidR="00E034B3" w:rsidRDefault="00E034B3" w:rsidP="0023384F">
            <w:r>
              <w:t>Public Sector</w:t>
            </w:r>
          </w:p>
        </w:tc>
        <w:tc>
          <w:tcPr>
            <w:tcW w:w="1843" w:type="dxa"/>
          </w:tcPr>
          <w:p w14:paraId="4C5BB54E" w14:textId="2AA24F7F" w:rsidR="00E034B3" w:rsidRDefault="00E034B3" w:rsidP="0023384F">
            <w:r>
              <w:t>13</w:t>
            </w:r>
          </w:p>
        </w:tc>
        <w:tc>
          <w:tcPr>
            <w:tcW w:w="1701" w:type="dxa"/>
          </w:tcPr>
          <w:p w14:paraId="754754C3" w14:textId="0FBC2AB3" w:rsidR="00E034B3" w:rsidRDefault="00E034B3" w:rsidP="0023384F">
            <w:r>
              <w:t>1</w:t>
            </w:r>
            <w:r w:rsidR="00CF04C5">
              <w:t>3</w:t>
            </w:r>
          </w:p>
        </w:tc>
        <w:tc>
          <w:tcPr>
            <w:tcW w:w="1661" w:type="dxa"/>
          </w:tcPr>
          <w:p w14:paraId="4C8BBE77" w14:textId="0860769B" w:rsidR="00E034B3" w:rsidRDefault="00E034B3" w:rsidP="0023384F">
            <w:r>
              <w:t>1</w:t>
            </w:r>
            <w:r w:rsidR="00CF04C5">
              <w:t>2</w:t>
            </w:r>
            <w:r w:rsidR="00C32C9D">
              <w:t xml:space="preserve"> (-8%)</w:t>
            </w:r>
          </w:p>
        </w:tc>
      </w:tr>
      <w:tr w:rsidR="00E034B3" w14:paraId="5D1F3711" w14:textId="77777777" w:rsidTr="00C32C9D">
        <w:trPr>
          <w:trHeight w:val="165"/>
        </w:trPr>
        <w:tc>
          <w:tcPr>
            <w:tcW w:w="4531" w:type="dxa"/>
          </w:tcPr>
          <w:p w14:paraId="0B91B52E" w14:textId="77777777" w:rsidR="00E034B3" w:rsidRDefault="00E034B3" w:rsidP="0023384F">
            <w:r>
              <w:t xml:space="preserve">Domestic </w:t>
            </w:r>
          </w:p>
        </w:tc>
        <w:tc>
          <w:tcPr>
            <w:tcW w:w="1843" w:type="dxa"/>
          </w:tcPr>
          <w:p w14:paraId="6FE04C72" w14:textId="298B61EF" w:rsidR="00E034B3" w:rsidRDefault="00E034B3" w:rsidP="0023384F">
            <w:r>
              <w:t>16</w:t>
            </w:r>
            <w:r w:rsidR="00CF04C5">
              <w:t>8</w:t>
            </w:r>
          </w:p>
        </w:tc>
        <w:tc>
          <w:tcPr>
            <w:tcW w:w="1701" w:type="dxa"/>
          </w:tcPr>
          <w:p w14:paraId="0AE1AE19" w14:textId="17C345F4" w:rsidR="00E034B3" w:rsidRDefault="00E034B3" w:rsidP="0023384F">
            <w:r>
              <w:t>170</w:t>
            </w:r>
          </w:p>
        </w:tc>
        <w:tc>
          <w:tcPr>
            <w:tcW w:w="1661" w:type="dxa"/>
          </w:tcPr>
          <w:p w14:paraId="0EE0B227" w14:textId="5A626819" w:rsidR="00E034B3" w:rsidRDefault="00E034B3" w:rsidP="0023384F">
            <w:r>
              <w:t>163</w:t>
            </w:r>
            <w:r w:rsidR="00C32C9D">
              <w:t xml:space="preserve"> (-3%)</w:t>
            </w:r>
          </w:p>
        </w:tc>
      </w:tr>
      <w:tr w:rsidR="00E034B3" w14:paraId="3965A1DA" w14:textId="77777777" w:rsidTr="008256FF">
        <w:tc>
          <w:tcPr>
            <w:tcW w:w="4531" w:type="dxa"/>
          </w:tcPr>
          <w:p w14:paraId="11906A29" w14:textId="77777777" w:rsidR="00E034B3" w:rsidRDefault="00E034B3" w:rsidP="0023384F">
            <w:r>
              <w:t>Transport</w:t>
            </w:r>
          </w:p>
        </w:tc>
        <w:tc>
          <w:tcPr>
            <w:tcW w:w="1843" w:type="dxa"/>
          </w:tcPr>
          <w:p w14:paraId="6C455858" w14:textId="293A89B6" w:rsidR="00E034B3" w:rsidRDefault="00E034B3" w:rsidP="0023384F">
            <w:r>
              <w:t>3</w:t>
            </w:r>
            <w:r w:rsidR="00CF04C5">
              <w:t>14</w:t>
            </w:r>
          </w:p>
        </w:tc>
        <w:tc>
          <w:tcPr>
            <w:tcW w:w="1701" w:type="dxa"/>
          </w:tcPr>
          <w:p w14:paraId="3B5B23AD" w14:textId="4AD82120" w:rsidR="00E034B3" w:rsidRDefault="00E034B3" w:rsidP="0023384F">
            <w:r>
              <w:t>3</w:t>
            </w:r>
            <w:r w:rsidR="00CF04C5">
              <w:t>10</w:t>
            </w:r>
          </w:p>
        </w:tc>
        <w:tc>
          <w:tcPr>
            <w:tcW w:w="1661" w:type="dxa"/>
          </w:tcPr>
          <w:p w14:paraId="3274797E" w14:textId="2D562271" w:rsidR="00E034B3" w:rsidRDefault="00E034B3" w:rsidP="0023384F">
            <w:r>
              <w:t>3</w:t>
            </w:r>
            <w:r w:rsidR="00CF04C5">
              <w:t>12</w:t>
            </w:r>
            <w:r w:rsidR="00C32C9D">
              <w:t xml:space="preserve"> (-1%)</w:t>
            </w:r>
          </w:p>
        </w:tc>
      </w:tr>
      <w:tr w:rsidR="00E034B3" w14:paraId="5F3B25A7" w14:textId="77777777" w:rsidTr="008256FF">
        <w:tc>
          <w:tcPr>
            <w:tcW w:w="4531" w:type="dxa"/>
          </w:tcPr>
          <w:p w14:paraId="0AFF0230" w14:textId="77777777" w:rsidR="00E034B3" w:rsidRDefault="00E034B3" w:rsidP="0023384F">
            <w:r>
              <w:t>Net emissions (forestry, crops, grass)</w:t>
            </w:r>
          </w:p>
        </w:tc>
        <w:tc>
          <w:tcPr>
            <w:tcW w:w="1843" w:type="dxa"/>
          </w:tcPr>
          <w:p w14:paraId="7403A4AE" w14:textId="77777777" w:rsidR="00E034B3" w:rsidRDefault="00E034B3" w:rsidP="0023384F">
            <w:r>
              <w:t>-11.8</w:t>
            </w:r>
          </w:p>
        </w:tc>
        <w:tc>
          <w:tcPr>
            <w:tcW w:w="1701" w:type="dxa"/>
          </w:tcPr>
          <w:p w14:paraId="4AD19EB9" w14:textId="77777777" w:rsidR="00E034B3" w:rsidRDefault="00E034B3" w:rsidP="0023384F">
            <w:r>
              <w:t>-12.3</w:t>
            </w:r>
          </w:p>
        </w:tc>
        <w:tc>
          <w:tcPr>
            <w:tcW w:w="1661" w:type="dxa"/>
          </w:tcPr>
          <w:p w14:paraId="66C2EE41" w14:textId="5AF6AC64" w:rsidR="00E034B3" w:rsidRDefault="00E034B3" w:rsidP="0023384F">
            <w:r>
              <w:t>-12.5</w:t>
            </w:r>
            <w:r w:rsidR="00C32C9D">
              <w:t xml:space="preserve"> (6%)</w:t>
            </w:r>
          </w:p>
        </w:tc>
      </w:tr>
      <w:tr w:rsidR="00E034B3" w14:paraId="56C7042D" w14:textId="77777777" w:rsidTr="008256FF">
        <w:tc>
          <w:tcPr>
            <w:tcW w:w="4531" w:type="dxa"/>
          </w:tcPr>
          <w:p w14:paraId="7B206309" w14:textId="77777777" w:rsidR="00E034B3" w:rsidRDefault="00E034B3" w:rsidP="0023384F">
            <w:r>
              <w:t>Total</w:t>
            </w:r>
          </w:p>
        </w:tc>
        <w:tc>
          <w:tcPr>
            <w:tcW w:w="1843" w:type="dxa"/>
          </w:tcPr>
          <w:p w14:paraId="24845BA3" w14:textId="5D35F902" w:rsidR="00E034B3" w:rsidRDefault="00E034B3" w:rsidP="0023384F">
            <w:r>
              <w:t>6</w:t>
            </w:r>
            <w:r w:rsidR="00611315">
              <w:t>8</w:t>
            </w:r>
            <w:r w:rsidR="007506A6">
              <w:t>4</w:t>
            </w:r>
          </w:p>
        </w:tc>
        <w:tc>
          <w:tcPr>
            <w:tcW w:w="1701" w:type="dxa"/>
          </w:tcPr>
          <w:p w14:paraId="04BC505D" w14:textId="0C2968B1" w:rsidR="00E034B3" w:rsidRDefault="00E034B3" w:rsidP="0023384F">
            <w:r>
              <w:t>6</w:t>
            </w:r>
            <w:r w:rsidR="00611315">
              <w:t>76</w:t>
            </w:r>
          </w:p>
        </w:tc>
        <w:tc>
          <w:tcPr>
            <w:tcW w:w="1661" w:type="dxa"/>
          </w:tcPr>
          <w:p w14:paraId="4763B296" w14:textId="5F8D97F7" w:rsidR="00E034B3" w:rsidRDefault="00E034B3" w:rsidP="0023384F">
            <w:r>
              <w:t>6</w:t>
            </w:r>
            <w:r w:rsidR="00611315">
              <w:t>55</w:t>
            </w:r>
            <w:r w:rsidR="00C32C9D">
              <w:t xml:space="preserve"> (-4%) </w:t>
            </w:r>
          </w:p>
        </w:tc>
      </w:tr>
      <w:tr w:rsidR="00E034B3" w14:paraId="584A3866" w14:textId="77777777" w:rsidTr="008256FF">
        <w:tc>
          <w:tcPr>
            <w:tcW w:w="4531" w:type="dxa"/>
          </w:tcPr>
          <w:p w14:paraId="2BF80A77" w14:textId="5947F50C" w:rsidR="00E034B3" w:rsidRDefault="003D4D91" w:rsidP="0023384F">
            <w:r>
              <w:t xml:space="preserve">SDDC </w:t>
            </w:r>
            <w:r w:rsidR="00E034B3">
              <w:t>Emissions/head tCO2e</w:t>
            </w:r>
          </w:p>
        </w:tc>
        <w:tc>
          <w:tcPr>
            <w:tcW w:w="1843" w:type="dxa"/>
          </w:tcPr>
          <w:p w14:paraId="65B64215" w14:textId="438EF8F0" w:rsidR="00E034B3" w:rsidRDefault="00E034B3" w:rsidP="0023384F">
            <w:r>
              <w:t>6.</w:t>
            </w:r>
            <w:r w:rsidR="00611315">
              <w:t>7</w:t>
            </w:r>
          </w:p>
        </w:tc>
        <w:tc>
          <w:tcPr>
            <w:tcW w:w="1701" w:type="dxa"/>
          </w:tcPr>
          <w:p w14:paraId="1C120B14" w14:textId="77777777" w:rsidR="00E034B3" w:rsidRDefault="00E034B3" w:rsidP="0023384F">
            <w:r>
              <w:t>6.5</w:t>
            </w:r>
          </w:p>
        </w:tc>
        <w:tc>
          <w:tcPr>
            <w:tcW w:w="1661" w:type="dxa"/>
          </w:tcPr>
          <w:p w14:paraId="7B3FC3DF" w14:textId="73CEC930" w:rsidR="00E034B3" w:rsidRDefault="00E034B3" w:rsidP="0023384F">
            <w:r>
              <w:t>6.</w:t>
            </w:r>
            <w:r w:rsidR="00611315">
              <w:t>1</w:t>
            </w:r>
          </w:p>
        </w:tc>
      </w:tr>
    </w:tbl>
    <w:p w14:paraId="27B3D2A6" w14:textId="38A4F921" w:rsidR="0088759F" w:rsidRDefault="0088759F" w:rsidP="00E034B3"/>
    <w:p w14:paraId="59F5F406" w14:textId="3E7AEEB2" w:rsidR="0088759F" w:rsidRPr="00142748" w:rsidRDefault="0088759F" w:rsidP="00B54B54">
      <w:pPr>
        <w:jc w:val="both"/>
        <w:rPr>
          <w:b/>
          <w:bCs/>
        </w:rPr>
      </w:pPr>
      <w:r>
        <w:rPr>
          <w:b/>
          <w:bCs/>
        </w:rPr>
        <w:t>Progress analysis:</w:t>
      </w:r>
    </w:p>
    <w:p w14:paraId="26E54560" w14:textId="2CAA1D70" w:rsidR="0088759F" w:rsidRDefault="0088759F" w:rsidP="00B54B54">
      <w:pPr>
        <w:pStyle w:val="ListParagraph"/>
        <w:numPr>
          <w:ilvl w:val="0"/>
          <w:numId w:val="37"/>
        </w:numPr>
        <w:jc w:val="both"/>
      </w:pPr>
      <w:r>
        <w:t xml:space="preserve">District-wide carbon emissions have reduced by 4.4% since 2017/18 </w:t>
      </w:r>
    </w:p>
    <w:p w14:paraId="15380AF0" w14:textId="43399BC2" w:rsidR="00C32C9D" w:rsidRDefault="00C32C9D" w:rsidP="00B54B54">
      <w:pPr>
        <w:pStyle w:val="ListParagraph"/>
        <w:numPr>
          <w:ilvl w:val="0"/>
          <w:numId w:val="37"/>
        </w:numPr>
        <w:jc w:val="both"/>
      </w:pPr>
      <w:r>
        <w:t>Largest reduction of carbon emission source is the Commercial sector</w:t>
      </w:r>
    </w:p>
    <w:p w14:paraId="1AF9EDF0" w14:textId="5BECF61A" w:rsidR="0088759F" w:rsidRDefault="0088759F" w:rsidP="00B54B54">
      <w:pPr>
        <w:pStyle w:val="ListParagraph"/>
        <w:numPr>
          <w:ilvl w:val="0"/>
          <w:numId w:val="37"/>
        </w:numPr>
        <w:jc w:val="both"/>
      </w:pPr>
      <w:r>
        <w:t>Highest carbon emission source in South Derbyshire is the Transport sector</w:t>
      </w:r>
    </w:p>
    <w:p w14:paraId="012B7BEE" w14:textId="3F727492" w:rsidR="00142748" w:rsidRDefault="00142748" w:rsidP="00B54B54">
      <w:pPr>
        <w:pStyle w:val="ListParagraph"/>
        <w:numPr>
          <w:ilvl w:val="0"/>
          <w:numId w:val="37"/>
        </w:numPr>
        <w:jc w:val="both"/>
      </w:pPr>
      <w:r>
        <w:t xml:space="preserve">Lowest carbon emission source in South Derbyshire is Agriculture, although it is </w:t>
      </w:r>
      <w:r w:rsidR="00392F64">
        <w:t>showing no decrease in emissions year-on-year.</w:t>
      </w:r>
    </w:p>
    <w:p w14:paraId="4F21C374" w14:textId="6B8D8022" w:rsidR="00142748" w:rsidRDefault="00142748" w:rsidP="00B54B54">
      <w:pPr>
        <w:pStyle w:val="ListParagraph"/>
        <w:numPr>
          <w:ilvl w:val="0"/>
          <w:numId w:val="37"/>
        </w:numPr>
        <w:jc w:val="both"/>
      </w:pPr>
      <w:r>
        <w:t>The carbon sequestration by natural sources is increasing year-on-year.</w:t>
      </w:r>
    </w:p>
    <w:p w14:paraId="2E7997CF" w14:textId="39B1EFD2" w:rsidR="00142748" w:rsidRDefault="00142748" w:rsidP="00B54B54">
      <w:pPr>
        <w:pStyle w:val="ListParagraph"/>
        <w:numPr>
          <w:ilvl w:val="0"/>
          <w:numId w:val="37"/>
        </w:numPr>
        <w:jc w:val="both"/>
      </w:pPr>
      <w:r>
        <w:t>Overall</w:t>
      </w:r>
      <w:r w:rsidR="00D24989">
        <w:t>,</w:t>
      </w:r>
      <w:r>
        <w:t xml:space="preserve"> the South Derbyshire emissions/population head on average is </w:t>
      </w:r>
      <w:r w:rsidR="005247AF">
        <w:t>reducing year-on-year</w:t>
      </w:r>
      <w:r w:rsidR="00611315">
        <w:t>.</w:t>
      </w:r>
    </w:p>
    <w:p w14:paraId="2B60583E" w14:textId="32C195F6" w:rsidR="008438B5" w:rsidRDefault="00611315">
      <w:pPr>
        <w:jc w:val="both"/>
      </w:pPr>
      <w:r>
        <w:t xml:space="preserve">In terms of comparisons, the table below shows the </w:t>
      </w:r>
      <w:r w:rsidR="00C32C9D">
        <w:t>total carbon</w:t>
      </w:r>
      <w:r>
        <w:t xml:space="preserve"> emissions and the emissions per head comparisons with all other </w:t>
      </w:r>
      <w:r w:rsidR="00D24989">
        <w:t>d</w:t>
      </w:r>
      <w:r>
        <w:t xml:space="preserve">istrict </w:t>
      </w:r>
      <w:r w:rsidR="00D24989">
        <w:t>c</w:t>
      </w:r>
      <w:r>
        <w:t>ouncils in Derbyshire</w:t>
      </w:r>
      <w:r w:rsidR="000D2173">
        <w:t>:</w:t>
      </w:r>
    </w:p>
    <w:p w14:paraId="70BDA5D0" w14:textId="25239A43" w:rsidR="00444CE6" w:rsidRPr="00B54B54" w:rsidRDefault="00444CE6" w:rsidP="00B54B54">
      <w:pPr>
        <w:spacing w:after="0"/>
        <w:jc w:val="both"/>
        <w:rPr>
          <w:b/>
          <w:bCs/>
        </w:rPr>
      </w:pPr>
      <w:r w:rsidRPr="00444CE6">
        <w:rPr>
          <w:b/>
          <w:bCs/>
        </w:rPr>
        <w:t xml:space="preserve">Table </w:t>
      </w:r>
      <w:r>
        <w:rPr>
          <w:b/>
          <w:bCs/>
        </w:rPr>
        <w:t>4</w:t>
      </w:r>
      <w:r w:rsidRPr="00444CE6">
        <w:rPr>
          <w:b/>
          <w:bCs/>
        </w:rPr>
        <w:t xml:space="preserve">: Annual Carbon Emissions by </w:t>
      </w:r>
      <w:r w:rsidR="00973B7A">
        <w:rPr>
          <w:b/>
          <w:bCs/>
        </w:rPr>
        <w:t xml:space="preserve">Council Area in Derby and </w:t>
      </w:r>
      <w:r w:rsidRPr="00444CE6">
        <w:rPr>
          <w:b/>
          <w:bCs/>
        </w:rPr>
        <w:t>Derbyshire</w:t>
      </w:r>
      <w:r w:rsidR="00090CE5">
        <w:rPr>
          <w:b/>
          <w:bCs/>
        </w:rPr>
        <w:t xml:space="preserve"> (data from BEIS)</w:t>
      </w:r>
    </w:p>
    <w:tbl>
      <w:tblPr>
        <w:tblStyle w:val="TableGrid"/>
        <w:tblW w:w="0" w:type="auto"/>
        <w:tblLook w:val="04A0" w:firstRow="1" w:lastRow="0" w:firstColumn="1" w:lastColumn="0" w:noHBand="0" w:noVBand="1"/>
      </w:tblPr>
      <w:tblGrid>
        <w:gridCol w:w="2830"/>
        <w:gridCol w:w="1701"/>
        <w:gridCol w:w="1560"/>
        <w:gridCol w:w="1417"/>
        <w:gridCol w:w="2228"/>
      </w:tblGrid>
      <w:tr w:rsidR="00611315" w14:paraId="251F94F4" w14:textId="77777777" w:rsidTr="00611315">
        <w:tc>
          <w:tcPr>
            <w:tcW w:w="2830" w:type="dxa"/>
            <w:vMerge w:val="restart"/>
            <w:shd w:val="clear" w:color="auto" w:fill="D9D9D9" w:themeFill="background1" w:themeFillShade="D9"/>
          </w:tcPr>
          <w:p w14:paraId="662705F6" w14:textId="3DE19311" w:rsidR="00611315" w:rsidRPr="00611315" w:rsidRDefault="00611315" w:rsidP="008438B5">
            <w:pPr>
              <w:rPr>
                <w:b/>
                <w:bCs/>
              </w:rPr>
            </w:pPr>
            <w:r w:rsidRPr="00611315">
              <w:rPr>
                <w:b/>
                <w:bCs/>
              </w:rPr>
              <w:t xml:space="preserve">Local Authority </w:t>
            </w:r>
          </w:p>
        </w:tc>
        <w:tc>
          <w:tcPr>
            <w:tcW w:w="3261" w:type="dxa"/>
            <w:gridSpan w:val="2"/>
            <w:shd w:val="clear" w:color="auto" w:fill="D9D9D9" w:themeFill="background1" w:themeFillShade="D9"/>
          </w:tcPr>
          <w:p w14:paraId="789B6248" w14:textId="2767B2FE" w:rsidR="00611315" w:rsidRPr="00611315" w:rsidRDefault="00611315" w:rsidP="00593D9F">
            <w:pPr>
              <w:jc w:val="center"/>
              <w:rPr>
                <w:b/>
                <w:bCs/>
              </w:rPr>
            </w:pPr>
            <w:r w:rsidRPr="00611315">
              <w:rPr>
                <w:b/>
                <w:bCs/>
              </w:rPr>
              <w:t>Total emissions (ktCO2e)</w:t>
            </w:r>
          </w:p>
        </w:tc>
        <w:tc>
          <w:tcPr>
            <w:tcW w:w="3645" w:type="dxa"/>
            <w:gridSpan w:val="2"/>
            <w:shd w:val="clear" w:color="auto" w:fill="D9D9D9" w:themeFill="background1" w:themeFillShade="D9"/>
          </w:tcPr>
          <w:p w14:paraId="1E90692D" w14:textId="504A783D" w:rsidR="00611315" w:rsidRPr="00611315" w:rsidRDefault="00611315" w:rsidP="00593D9F">
            <w:pPr>
              <w:jc w:val="center"/>
              <w:rPr>
                <w:b/>
                <w:bCs/>
              </w:rPr>
            </w:pPr>
            <w:r w:rsidRPr="00611315">
              <w:rPr>
                <w:b/>
                <w:bCs/>
              </w:rPr>
              <w:t>Emissions/Head</w:t>
            </w:r>
          </w:p>
        </w:tc>
      </w:tr>
      <w:tr w:rsidR="00611315" w14:paraId="7F7C7BFB" w14:textId="77777777" w:rsidTr="00611315">
        <w:tc>
          <w:tcPr>
            <w:tcW w:w="2830" w:type="dxa"/>
            <w:vMerge/>
            <w:shd w:val="clear" w:color="auto" w:fill="D9D9D9" w:themeFill="background1" w:themeFillShade="D9"/>
          </w:tcPr>
          <w:p w14:paraId="47A2288F" w14:textId="77777777" w:rsidR="00611315" w:rsidRDefault="00611315" w:rsidP="008438B5"/>
        </w:tc>
        <w:tc>
          <w:tcPr>
            <w:tcW w:w="1701" w:type="dxa"/>
            <w:shd w:val="clear" w:color="auto" w:fill="D9D9D9" w:themeFill="background1" w:themeFillShade="D9"/>
          </w:tcPr>
          <w:p w14:paraId="32FAE093" w14:textId="0BBEA60A" w:rsidR="00611315" w:rsidRPr="00611315" w:rsidRDefault="00611315" w:rsidP="008438B5">
            <w:pPr>
              <w:rPr>
                <w:b/>
                <w:bCs/>
              </w:rPr>
            </w:pPr>
            <w:r w:rsidRPr="00611315">
              <w:rPr>
                <w:b/>
                <w:bCs/>
              </w:rPr>
              <w:t>2017/18</w:t>
            </w:r>
          </w:p>
        </w:tc>
        <w:tc>
          <w:tcPr>
            <w:tcW w:w="1560" w:type="dxa"/>
            <w:shd w:val="clear" w:color="auto" w:fill="D9D9D9" w:themeFill="background1" w:themeFillShade="D9"/>
          </w:tcPr>
          <w:p w14:paraId="7F15719F" w14:textId="00677AB4" w:rsidR="00611315" w:rsidRPr="00611315" w:rsidRDefault="00611315" w:rsidP="008438B5">
            <w:pPr>
              <w:rPr>
                <w:b/>
                <w:bCs/>
              </w:rPr>
            </w:pPr>
            <w:r w:rsidRPr="00611315">
              <w:rPr>
                <w:b/>
                <w:bCs/>
              </w:rPr>
              <w:t>2019/20</w:t>
            </w:r>
          </w:p>
        </w:tc>
        <w:tc>
          <w:tcPr>
            <w:tcW w:w="1417" w:type="dxa"/>
            <w:shd w:val="clear" w:color="auto" w:fill="D9D9D9" w:themeFill="background1" w:themeFillShade="D9"/>
          </w:tcPr>
          <w:p w14:paraId="6A92EE7C" w14:textId="69133738" w:rsidR="00611315" w:rsidRPr="00611315" w:rsidRDefault="00611315" w:rsidP="008438B5">
            <w:pPr>
              <w:rPr>
                <w:b/>
                <w:bCs/>
              </w:rPr>
            </w:pPr>
            <w:r w:rsidRPr="00611315">
              <w:rPr>
                <w:b/>
                <w:bCs/>
              </w:rPr>
              <w:t>2018</w:t>
            </w:r>
          </w:p>
        </w:tc>
        <w:tc>
          <w:tcPr>
            <w:tcW w:w="2228" w:type="dxa"/>
            <w:shd w:val="clear" w:color="auto" w:fill="D9D9D9" w:themeFill="background1" w:themeFillShade="D9"/>
          </w:tcPr>
          <w:p w14:paraId="5D862D16" w14:textId="04BF8495" w:rsidR="00611315" w:rsidRPr="00611315" w:rsidRDefault="00611315" w:rsidP="008438B5">
            <w:pPr>
              <w:rPr>
                <w:b/>
                <w:bCs/>
              </w:rPr>
            </w:pPr>
            <w:r w:rsidRPr="00611315">
              <w:rPr>
                <w:b/>
                <w:bCs/>
              </w:rPr>
              <w:t>2019</w:t>
            </w:r>
          </w:p>
        </w:tc>
      </w:tr>
      <w:tr w:rsidR="00593D9F" w14:paraId="0D3F9593" w14:textId="77777777" w:rsidTr="00392F64">
        <w:tc>
          <w:tcPr>
            <w:tcW w:w="2830" w:type="dxa"/>
            <w:shd w:val="clear" w:color="auto" w:fill="F2F2F2" w:themeFill="background1" w:themeFillShade="F2"/>
          </w:tcPr>
          <w:p w14:paraId="65AD47F7" w14:textId="7BA88E60" w:rsidR="00593D9F" w:rsidRDefault="00593D9F" w:rsidP="008438B5">
            <w:r>
              <w:t>South Derbyshire</w:t>
            </w:r>
          </w:p>
        </w:tc>
        <w:tc>
          <w:tcPr>
            <w:tcW w:w="1701" w:type="dxa"/>
            <w:shd w:val="clear" w:color="auto" w:fill="F2F2F2" w:themeFill="background1" w:themeFillShade="F2"/>
          </w:tcPr>
          <w:p w14:paraId="43AEAB44" w14:textId="7791EE54" w:rsidR="00593D9F" w:rsidRDefault="00593D9F" w:rsidP="008438B5">
            <w:r>
              <w:t>68</w:t>
            </w:r>
            <w:r w:rsidR="007A23F9">
              <w:t>4</w:t>
            </w:r>
          </w:p>
        </w:tc>
        <w:tc>
          <w:tcPr>
            <w:tcW w:w="1560" w:type="dxa"/>
            <w:shd w:val="clear" w:color="auto" w:fill="F2F2F2" w:themeFill="background1" w:themeFillShade="F2"/>
          </w:tcPr>
          <w:p w14:paraId="58444B34" w14:textId="2C3CD5C7" w:rsidR="00593D9F" w:rsidRDefault="00593D9F" w:rsidP="008438B5">
            <w:r>
              <w:t>65</w:t>
            </w:r>
            <w:r w:rsidR="007506A6">
              <w:t>5</w:t>
            </w:r>
          </w:p>
        </w:tc>
        <w:tc>
          <w:tcPr>
            <w:tcW w:w="1417" w:type="dxa"/>
            <w:shd w:val="clear" w:color="auto" w:fill="F2F2F2" w:themeFill="background1" w:themeFillShade="F2"/>
          </w:tcPr>
          <w:p w14:paraId="5D2DFA07" w14:textId="2D1702EB" w:rsidR="00593D9F" w:rsidRDefault="007A23F9" w:rsidP="008438B5">
            <w:r>
              <w:t>6.7</w:t>
            </w:r>
          </w:p>
        </w:tc>
        <w:tc>
          <w:tcPr>
            <w:tcW w:w="2228" w:type="dxa"/>
            <w:shd w:val="clear" w:color="auto" w:fill="F2F2F2" w:themeFill="background1" w:themeFillShade="F2"/>
          </w:tcPr>
          <w:p w14:paraId="1EED360F" w14:textId="24C74C88" w:rsidR="00593D9F" w:rsidRDefault="007A23F9" w:rsidP="008438B5">
            <w:r>
              <w:t>6.1</w:t>
            </w:r>
            <w:r w:rsidR="000D2173">
              <w:t xml:space="preserve"> (-9%)</w:t>
            </w:r>
          </w:p>
        </w:tc>
      </w:tr>
      <w:tr w:rsidR="00593D9F" w14:paraId="6B9D2410" w14:textId="77777777" w:rsidTr="007A23F9">
        <w:tc>
          <w:tcPr>
            <w:tcW w:w="2830" w:type="dxa"/>
          </w:tcPr>
          <w:p w14:paraId="5B59DDC0" w14:textId="700CE342" w:rsidR="00593D9F" w:rsidRDefault="007A23F9" w:rsidP="008438B5">
            <w:r>
              <w:t xml:space="preserve">Northeast Derbyshire </w:t>
            </w:r>
          </w:p>
        </w:tc>
        <w:tc>
          <w:tcPr>
            <w:tcW w:w="1701" w:type="dxa"/>
          </w:tcPr>
          <w:p w14:paraId="219CF52E" w14:textId="2C553D79" w:rsidR="00593D9F" w:rsidRDefault="007A23F9" w:rsidP="008438B5">
            <w:r>
              <w:t>481</w:t>
            </w:r>
          </w:p>
        </w:tc>
        <w:tc>
          <w:tcPr>
            <w:tcW w:w="1560" w:type="dxa"/>
          </w:tcPr>
          <w:p w14:paraId="3140401F" w14:textId="6EAE8FD9" w:rsidR="00593D9F" w:rsidRDefault="007A23F9" w:rsidP="008438B5">
            <w:r>
              <w:t>438</w:t>
            </w:r>
          </w:p>
        </w:tc>
        <w:tc>
          <w:tcPr>
            <w:tcW w:w="1417" w:type="dxa"/>
          </w:tcPr>
          <w:p w14:paraId="201F9777" w14:textId="14E6C395" w:rsidR="00593D9F" w:rsidRDefault="007A23F9" w:rsidP="008438B5">
            <w:r>
              <w:t>4.8</w:t>
            </w:r>
          </w:p>
        </w:tc>
        <w:tc>
          <w:tcPr>
            <w:tcW w:w="2228" w:type="dxa"/>
          </w:tcPr>
          <w:p w14:paraId="1D76A4CE" w14:textId="3C9C3AD1" w:rsidR="00593D9F" w:rsidRDefault="007A23F9" w:rsidP="008438B5">
            <w:r>
              <w:t>4.3</w:t>
            </w:r>
            <w:r w:rsidR="000D2173">
              <w:t xml:space="preserve"> (-10%)</w:t>
            </w:r>
          </w:p>
        </w:tc>
      </w:tr>
      <w:tr w:rsidR="00593D9F" w14:paraId="613188F0" w14:textId="77777777" w:rsidTr="007A23F9">
        <w:tc>
          <w:tcPr>
            <w:tcW w:w="2830" w:type="dxa"/>
          </w:tcPr>
          <w:p w14:paraId="067D609E" w14:textId="3637E53F" w:rsidR="00593D9F" w:rsidRDefault="007A23F9" w:rsidP="007A23F9">
            <w:r>
              <w:t xml:space="preserve">High Peak </w:t>
            </w:r>
          </w:p>
        </w:tc>
        <w:tc>
          <w:tcPr>
            <w:tcW w:w="1701" w:type="dxa"/>
          </w:tcPr>
          <w:p w14:paraId="12F048F8" w14:textId="61471B2A" w:rsidR="00593D9F" w:rsidRDefault="007A23F9" w:rsidP="008438B5">
            <w:r>
              <w:t>704</w:t>
            </w:r>
          </w:p>
        </w:tc>
        <w:tc>
          <w:tcPr>
            <w:tcW w:w="1560" w:type="dxa"/>
          </w:tcPr>
          <w:p w14:paraId="63B8DCF6" w14:textId="110C6A9C" w:rsidR="00593D9F" w:rsidRDefault="007A23F9" w:rsidP="008438B5">
            <w:r>
              <w:t>685</w:t>
            </w:r>
          </w:p>
        </w:tc>
        <w:tc>
          <w:tcPr>
            <w:tcW w:w="1417" w:type="dxa"/>
          </w:tcPr>
          <w:p w14:paraId="3480C85B" w14:textId="6C779722" w:rsidR="00593D9F" w:rsidRDefault="007A23F9" w:rsidP="008438B5">
            <w:r>
              <w:t>7.6</w:t>
            </w:r>
          </w:p>
        </w:tc>
        <w:tc>
          <w:tcPr>
            <w:tcW w:w="2228" w:type="dxa"/>
          </w:tcPr>
          <w:p w14:paraId="272C1515" w14:textId="0A42E258" w:rsidR="00593D9F" w:rsidRDefault="007A23F9" w:rsidP="008438B5">
            <w:r>
              <w:t>7.4</w:t>
            </w:r>
            <w:r w:rsidR="000D2173">
              <w:t xml:space="preserve"> (-3%)</w:t>
            </w:r>
          </w:p>
        </w:tc>
      </w:tr>
      <w:tr w:rsidR="00593D9F" w14:paraId="5B206ECD" w14:textId="77777777" w:rsidTr="007A23F9">
        <w:tc>
          <w:tcPr>
            <w:tcW w:w="2830" w:type="dxa"/>
          </w:tcPr>
          <w:p w14:paraId="445F55E0" w14:textId="483DD1C9" w:rsidR="00593D9F" w:rsidRDefault="007A23F9" w:rsidP="008438B5">
            <w:r>
              <w:t>Erewash</w:t>
            </w:r>
          </w:p>
        </w:tc>
        <w:tc>
          <w:tcPr>
            <w:tcW w:w="1701" w:type="dxa"/>
          </w:tcPr>
          <w:p w14:paraId="186E416D" w14:textId="60E6C566" w:rsidR="00593D9F" w:rsidRDefault="007A23F9" w:rsidP="008438B5">
            <w:r>
              <w:t>433</w:t>
            </w:r>
          </w:p>
        </w:tc>
        <w:tc>
          <w:tcPr>
            <w:tcW w:w="1560" w:type="dxa"/>
          </w:tcPr>
          <w:p w14:paraId="49E462A6" w14:textId="7B32159B" w:rsidR="00593D9F" w:rsidRDefault="007A23F9" w:rsidP="008438B5">
            <w:r>
              <w:t>416</w:t>
            </w:r>
          </w:p>
        </w:tc>
        <w:tc>
          <w:tcPr>
            <w:tcW w:w="1417" w:type="dxa"/>
          </w:tcPr>
          <w:p w14:paraId="63410829" w14:textId="2BB5252A" w:rsidR="00593D9F" w:rsidRDefault="007A23F9" w:rsidP="008438B5">
            <w:r>
              <w:t>3.8</w:t>
            </w:r>
          </w:p>
        </w:tc>
        <w:tc>
          <w:tcPr>
            <w:tcW w:w="2228" w:type="dxa"/>
          </w:tcPr>
          <w:p w14:paraId="58D0BE46" w14:textId="3769D542" w:rsidR="00593D9F" w:rsidRDefault="007A23F9" w:rsidP="008438B5">
            <w:r>
              <w:t>3.6</w:t>
            </w:r>
            <w:r w:rsidR="000D2173">
              <w:t xml:space="preserve"> (-5%)</w:t>
            </w:r>
          </w:p>
        </w:tc>
      </w:tr>
      <w:tr w:rsidR="00593D9F" w14:paraId="5D6C1360" w14:textId="77777777" w:rsidTr="007A23F9">
        <w:tc>
          <w:tcPr>
            <w:tcW w:w="2830" w:type="dxa"/>
          </w:tcPr>
          <w:p w14:paraId="0647937B" w14:textId="486B623F" w:rsidR="00593D9F" w:rsidRDefault="007A23F9" w:rsidP="008438B5">
            <w:r>
              <w:t>Derbyshire Dales</w:t>
            </w:r>
          </w:p>
        </w:tc>
        <w:tc>
          <w:tcPr>
            <w:tcW w:w="1701" w:type="dxa"/>
          </w:tcPr>
          <w:p w14:paraId="02F18378" w14:textId="41F0008A" w:rsidR="00593D9F" w:rsidRDefault="007A23F9" w:rsidP="008438B5">
            <w:r>
              <w:t>564</w:t>
            </w:r>
          </w:p>
        </w:tc>
        <w:tc>
          <w:tcPr>
            <w:tcW w:w="1560" w:type="dxa"/>
          </w:tcPr>
          <w:p w14:paraId="4E0E3822" w14:textId="6062C175" w:rsidR="00593D9F" w:rsidRDefault="007A23F9" w:rsidP="008438B5">
            <w:r>
              <w:t>539</w:t>
            </w:r>
          </w:p>
        </w:tc>
        <w:tc>
          <w:tcPr>
            <w:tcW w:w="1417" w:type="dxa"/>
          </w:tcPr>
          <w:p w14:paraId="2F7AA0C6" w14:textId="69E97550" w:rsidR="00593D9F" w:rsidRDefault="007A23F9" w:rsidP="008438B5">
            <w:r>
              <w:t>7.9</w:t>
            </w:r>
          </w:p>
        </w:tc>
        <w:tc>
          <w:tcPr>
            <w:tcW w:w="2228" w:type="dxa"/>
          </w:tcPr>
          <w:p w14:paraId="064D4566" w14:textId="2863638E" w:rsidR="00593D9F" w:rsidRDefault="007A23F9" w:rsidP="008438B5">
            <w:r>
              <w:t>7.4</w:t>
            </w:r>
            <w:r w:rsidR="000D2173">
              <w:t xml:space="preserve"> (-6%)</w:t>
            </w:r>
          </w:p>
        </w:tc>
      </w:tr>
      <w:tr w:rsidR="00593D9F" w14:paraId="13BEEE07" w14:textId="77777777" w:rsidTr="007A23F9">
        <w:tc>
          <w:tcPr>
            <w:tcW w:w="2830" w:type="dxa"/>
          </w:tcPr>
          <w:p w14:paraId="163038FD" w14:textId="7907E6D9" w:rsidR="00593D9F" w:rsidRDefault="00517C35" w:rsidP="008438B5">
            <w:r>
              <w:t>Chesterfield</w:t>
            </w:r>
          </w:p>
        </w:tc>
        <w:tc>
          <w:tcPr>
            <w:tcW w:w="1701" w:type="dxa"/>
          </w:tcPr>
          <w:p w14:paraId="5306F469" w14:textId="59510B84" w:rsidR="00593D9F" w:rsidRDefault="00517C35" w:rsidP="008438B5">
            <w:r>
              <w:t>432</w:t>
            </w:r>
          </w:p>
        </w:tc>
        <w:tc>
          <w:tcPr>
            <w:tcW w:w="1560" w:type="dxa"/>
          </w:tcPr>
          <w:p w14:paraId="2BA8043B" w14:textId="7796DC1B" w:rsidR="00593D9F" w:rsidRDefault="00517C35" w:rsidP="008438B5">
            <w:r>
              <w:t>417</w:t>
            </w:r>
          </w:p>
        </w:tc>
        <w:tc>
          <w:tcPr>
            <w:tcW w:w="1417" w:type="dxa"/>
          </w:tcPr>
          <w:p w14:paraId="796340FE" w14:textId="043ED73C" w:rsidR="00593D9F" w:rsidRDefault="00517C35" w:rsidP="008438B5">
            <w:r>
              <w:t>4.1</w:t>
            </w:r>
          </w:p>
        </w:tc>
        <w:tc>
          <w:tcPr>
            <w:tcW w:w="2228" w:type="dxa"/>
          </w:tcPr>
          <w:p w14:paraId="4CDB4A51" w14:textId="274914B3" w:rsidR="00593D9F" w:rsidRDefault="00517C35" w:rsidP="008438B5">
            <w:r>
              <w:t>4.0</w:t>
            </w:r>
            <w:r w:rsidR="000D2173">
              <w:t xml:space="preserve"> (-2%)</w:t>
            </w:r>
          </w:p>
        </w:tc>
      </w:tr>
      <w:tr w:rsidR="00593D9F" w14:paraId="0F42ACE9" w14:textId="77777777" w:rsidTr="007A23F9">
        <w:tc>
          <w:tcPr>
            <w:tcW w:w="2830" w:type="dxa"/>
          </w:tcPr>
          <w:p w14:paraId="1EBE4BE6" w14:textId="0634E180" w:rsidR="00593D9F" w:rsidRDefault="00517C35" w:rsidP="008438B5">
            <w:r>
              <w:t>Bolsover</w:t>
            </w:r>
          </w:p>
        </w:tc>
        <w:tc>
          <w:tcPr>
            <w:tcW w:w="1701" w:type="dxa"/>
          </w:tcPr>
          <w:p w14:paraId="057289BB" w14:textId="098CE7B6" w:rsidR="00593D9F" w:rsidRDefault="00517C35" w:rsidP="008438B5">
            <w:r>
              <w:t>401</w:t>
            </w:r>
          </w:p>
        </w:tc>
        <w:tc>
          <w:tcPr>
            <w:tcW w:w="1560" w:type="dxa"/>
          </w:tcPr>
          <w:p w14:paraId="77F581E9" w14:textId="3DBA7381" w:rsidR="00593D9F" w:rsidRDefault="00517C35" w:rsidP="008438B5">
            <w:r>
              <w:t>371</w:t>
            </w:r>
          </w:p>
        </w:tc>
        <w:tc>
          <w:tcPr>
            <w:tcW w:w="1417" w:type="dxa"/>
          </w:tcPr>
          <w:p w14:paraId="6610EBE0" w14:textId="3779D56E" w:rsidR="00593D9F" w:rsidRDefault="00517C35" w:rsidP="008438B5">
            <w:r>
              <w:t>5.1</w:t>
            </w:r>
          </w:p>
        </w:tc>
        <w:tc>
          <w:tcPr>
            <w:tcW w:w="2228" w:type="dxa"/>
          </w:tcPr>
          <w:p w14:paraId="161A6FE0" w14:textId="5639A394" w:rsidR="00593D9F" w:rsidRDefault="00517C35" w:rsidP="008438B5">
            <w:r>
              <w:t>4.6</w:t>
            </w:r>
            <w:r w:rsidR="000D2173">
              <w:t xml:space="preserve"> (-10%)</w:t>
            </w:r>
          </w:p>
        </w:tc>
      </w:tr>
      <w:tr w:rsidR="00593D9F" w14:paraId="7F97645C" w14:textId="77777777" w:rsidTr="007A23F9">
        <w:tc>
          <w:tcPr>
            <w:tcW w:w="2830" w:type="dxa"/>
          </w:tcPr>
          <w:p w14:paraId="0BF01388" w14:textId="0868C295" w:rsidR="00593D9F" w:rsidRDefault="00517C35" w:rsidP="008438B5">
            <w:r>
              <w:t>Amber Valley</w:t>
            </w:r>
          </w:p>
        </w:tc>
        <w:tc>
          <w:tcPr>
            <w:tcW w:w="1701" w:type="dxa"/>
          </w:tcPr>
          <w:p w14:paraId="1429F451" w14:textId="5791A185" w:rsidR="00593D9F" w:rsidRDefault="00517C35" w:rsidP="008438B5">
            <w:r>
              <w:t>672</w:t>
            </w:r>
          </w:p>
        </w:tc>
        <w:tc>
          <w:tcPr>
            <w:tcW w:w="1560" w:type="dxa"/>
          </w:tcPr>
          <w:p w14:paraId="44654334" w14:textId="20AA4301" w:rsidR="00593D9F" w:rsidRDefault="00517C35" w:rsidP="008438B5">
            <w:r>
              <w:t>661</w:t>
            </w:r>
          </w:p>
        </w:tc>
        <w:tc>
          <w:tcPr>
            <w:tcW w:w="1417" w:type="dxa"/>
          </w:tcPr>
          <w:p w14:paraId="587E04E8" w14:textId="2894B076" w:rsidR="00593D9F" w:rsidRDefault="00517C35" w:rsidP="008438B5">
            <w:r>
              <w:t>5.3</w:t>
            </w:r>
          </w:p>
        </w:tc>
        <w:tc>
          <w:tcPr>
            <w:tcW w:w="2228" w:type="dxa"/>
          </w:tcPr>
          <w:p w14:paraId="288E8BD6" w14:textId="02A18B82" w:rsidR="00593D9F" w:rsidRDefault="00517C35" w:rsidP="008438B5">
            <w:r>
              <w:t>5.2</w:t>
            </w:r>
            <w:r w:rsidR="000D2173">
              <w:t xml:space="preserve"> (-2%)</w:t>
            </w:r>
          </w:p>
        </w:tc>
      </w:tr>
      <w:tr w:rsidR="00593D9F" w14:paraId="1417BB8E" w14:textId="77777777" w:rsidTr="007A23F9">
        <w:tc>
          <w:tcPr>
            <w:tcW w:w="2830" w:type="dxa"/>
          </w:tcPr>
          <w:p w14:paraId="6DF21288" w14:textId="58804A4E" w:rsidR="00593D9F" w:rsidRDefault="00517C35" w:rsidP="008438B5">
            <w:r>
              <w:t>Derby</w:t>
            </w:r>
          </w:p>
        </w:tc>
        <w:tc>
          <w:tcPr>
            <w:tcW w:w="1701" w:type="dxa"/>
          </w:tcPr>
          <w:p w14:paraId="7ABDE802" w14:textId="40344092" w:rsidR="00593D9F" w:rsidRDefault="00517C35" w:rsidP="008438B5">
            <w:r>
              <w:t>1,069</w:t>
            </w:r>
          </w:p>
        </w:tc>
        <w:tc>
          <w:tcPr>
            <w:tcW w:w="1560" w:type="dxa"/>
          </w:tcPr>
          <w:p w14:paraId="758BA002" w14:textId="5BADAC1E" w:rsidR="00593D9F" w:rsidRDefault="00517C35" w:rsidP="008438B5">
            <w:r>
              <w:t>1,012</w:t>
            </w:r>
          </w:p>
        </w:tc>
        <w:tc>
          <w:tcPr>
            <w:tcW w:w="1417" w:type="dxa"/>
          </w:tcPr>
          <w:p w14:paraId="0BAE8CD6" w14:textId="543A05CA" w:rsidR="00593D9F" w:rsidRDefault="00517C35" w:rsidP="008438B5">
            <w:r>
              <w:t>4.2</w:t>
            </w:r>
          </w:p>
        </w:tc>
        <w:tc>
          <w:tcPr>
            <w:tcW w:w="2228" w:type="dxa"/>
          </w:tcPr>
          <w:p w14:paraId="627A97A0" w14:textId="37F19954" w:rsidR="00593D9F" w:rsidRDefault="00517C35" w:rsidP="008438B5">
            <w:r>
              <w:t>3.9</w:t>
            </w:r>
            <w:r w:rsidR="000D2173">
              <w:t xml:space="preserve"> (-7%)</w:t>
            </w:r>
          </w:p>
        </w:tc>
      </w:tr>
      <w:tr w:rsidR="00517C35" w14:paraId="510FE668" w14:textId="77777777" w:rsidTr="00611315">
        <w:tc>
          <w:tcPr>
            <w:tcW w:w="2830" w:type="dxa"/>
            <w:shd w:val="clear" w:color="auto" w:fill="F2F2F2" w:themeFill="background1" w:themeFillShade="F2"/>
          </w:tcPr>
          <w:p w14:paraId="2683087D" w14:textId="7ADD704D" w:rsidR="00517C35" w:rsidRDefault="00517C35" w:rsidP="008438B5">
            <w:r>
              <w:t>Derbyshire CC</w:t>
            </w:r>
          </w:p>
        </w:tc>
        <w:tc>
          <w:tcPr>
            <w:tcW w:w="1701" w:type="dxa"/>
            <w:shd w:val="clear" w:color="auto" w:fill="F2F2F2" w:themeFill="background1" w:themeFillShade="F2"/>
          </w:tcPr>
          <w:p w14:paraId="0BE97C81" w14:textId="15E069FE" w:rsidR="00517C35" w:rsidRDefault="00517C35" w:rsidP="008438B5">
            <w:r>
              <w:t>4,371</w:t>
            </w:r>
          </w:p>
        </w:tc>
        <w:tc>
          <w:tcPr>
            <w:tcW w:w="1560" w:type="dxa"/>
            <w:shd w:val="clear" w:color="auto" w:fill="F2F2F2" w:themeFill="background1" w:themeFillShade="F2"/>
          </w:tcPr>
          <w:p w14:paraId="175A1338" w14:textId="431D29E8" w:rsidR="00517C35" w:rsidRDefault="00517C35" w:rsidP="008438B5">
            <w:r>
              <w:t>4,182</w:t>
            </w:r>
          </w:p>
        </w:tc>
        <w:tc>
          <w:tcPr>
            <w:tcW w:w="1417" w:type="dxa"/>
            <w:shd w:val="clear" w:color="auto" w:fill="F2F2F2" w:themeFill="background1" w:themeFillShade="F2"/>
          </w:tcPr>
          <w:p w14:paraId="75A00137" w14:textId="13386455" w:rsidR="00517C35" w:rsidRDefault="00517C35" w:rsidP="008438B5">
            <w:r>
              <w:t>5.5</w:t>
            </w:r>
          </w:p>
        </w:tc>
        <w:tc>
          <w:tcPr>
            <w:tcW w:w="2228" w:type="dxa"/>
            <w:shd w:val="clear" w:color="auto" w:fill="F2F2F2" w:themeFill="background1" w:themeFillShade="F2"/>
          </w:tcPr>
          <w:p w14:paraId="165B8BD3" w14:textId="2AB811D8" w:rsidR="00517C35" w:rsidRDefault="00517C35" w:rsidP="008438B5">
            <w:r>
              <w:t xml:space="preserve">5.2 </w:t>
            </w:r>
            <w:r w:rsidR="000D2173">
              <w:t>(-5%)</w:t>
            </w:r>
          </w:p>
        </w:tc>
      </w:tr>
    </w:tbl>
    <w:p w14:paraId="70D0A252" w14:textId="408050C6" w:rsidR="008438B5" w:rsidRDefault="008438B5" w:rsidP="008438B5"/>
    <w:p w14:paraId="15A7A1FC" w14:textId="2E07E9DA" w:rsidR="000D2173" w:rsidRDefault="000D2173" w:rsidP="00B54B54">
      <w:pPr>
        <w:jc w:val="both"/>
        <w:rPr>
          <w:b/>
          <w:bCs/>
        </w:rPr>
      </w:pPr>
      <w:r>
        <w:rPr>
          <w:b/>
          <w:bCs/>
        </w:rPr>
        <w:t xml:space="preserve">Progress analysis: </w:t>
      </w:r>
    </w:p>
    <w:p w14:paraId="00A3119D" w14:textId="779673B4" w:rsidR="000D2173" w:rsidRDefault="00973B7A" w:rsidP="00B54B54">
      <w:pPr>
        <w:pStyle w:val="ListParagraph"/>
        <w:numPr>
          <w:ilvl w:val="0"/>
          <w:numId w:val="38"/>
        </w:numPr>
        <w:jc w:val="both"/>
      </w:pPr>
      <w:r>
        <w:t>Carbon emissions are reducing in all area</w:t>
      </w:r>
      <w:r w:rsidR="000D2173">
        <w:t xml:space="preserve">s </w:t>
      </w:r>
      <w:r>
        <w:t xml:space="preserve">of Derby and Derbyshire </w:t>
      </w:r>
      <w:r w:rsidR="000D2173">
        <w:t>year on year</w:t>
      </w:r>
      <w:r>
        <w:t>.</w:t>
      </w:r>
    </w:p>
    <w:p w14:paraId="3B079FE1" w14:textId="520B8D13" w:rsidR="00392F64" w:rsidRDefault="00973B7A" w:rsidP="00B54B54">
      <w:pPr>
        <w:pStyle w:val="ListParagraph"/>
        <w:numPr>
          <w:ilvl w:val="0"/>
          <w:numId w:val="38"/>
        </w:numPr>
        <w:jc w:val="both"/>
      </w:pPr>
      <w:r>
        <w:t xml:space="preserve">Carbon emissions in South Derbyshire have </w:t>
      </w:r>
      <w:r w:rsidR="00392F64">
        <w:t>reduc</w:t>
      </w:r>
      <w:r>
        <w:t>ed</w:t>
      </w:r>
      <w:r w:rsidR="00392F64">
        <w:t xml:space="preserve"> per head of population by 9% since 2017/18 – the third highest reduction in Derbyshire</w:t>
      </w:r>
      <w:r>
        <w:t>.</w:t>
      </w:r>
    </w:p>
    <w:p w14:paraId="18C57ABF" w14:textId="4155E890" w:rsidR="007506A6" w:rsidRPr="000D2173" w:rsidRDefault="007506A6" w:rsidP="00B54B54">
      <w:pPr>
        <w:pStyle w:val="ListParagraph"/>
        <w:numPr>
          <w:ilvl w:val="0"/>
          <w:numId w:val="38"/>
        </w:numPr>
        <w:jc w:val="both"/>
      </w:pPr>
      <w:r>
        <w:t>South Derbyshire h</w:t>
      </w:r>
      <w:r w:rsidR="00A216D7">
        <w:t>a</w:t>
      </w:r>
      <w:r w:rsidR="00D24989">
        <w:t>s</w:t>
      </w:r>
      <w:r>
        <w:t xml:space="preserve"> the third highest carbon emissions in Derbyshire, after High Peak and Amber Valley. </w:t>
      </w:r>
    </w:p>
    <w:p w14:paraId="0B50A6B9" w14:textId="7332DFEF" w:rsidR="00435113" w:rsidRDefault="0066582B" w:rsidP="00C00297">
      <w:pPr>
        <w:pStyle w:val="Heading1"/>
        <w:numPr>
          <w:ilvl w:val="0"/>
          <w:numId w:val="22"/>
        </w:numPr>
      </w:pPr>
      <w:bookmarkStart w:id="13" w:name="_Toc105427816"/>
      <w:r>
        <w:lastRenderedPageBreak/>
        <w:t>Achievement</w:t>
      </w:r>
      <w:r w:rsidR="00435113">
        <w:t xml:space="preserve"> Summary</w:t>
      </w:r>
      <w:bookmarkEnd w:id="13"/>
      <w:r w:rsidR="00435113">
        <w:t xml:space="preserve"> </w:t>
      </w:r>
    </w:p>
    <w:p w14:paraId="452CFE62" w14:textId="32757545" w:rsidR="00FD7F45" w:rsidRDefault="00FD7F45" w:rsidP="00C00297">
      <w:r>
        <w:t xml:space="preserve">A summary of </w:t>
      </w:r>
      <w:r w:rsidR="00973B7A">
        <w:t>a</w:t>
      </w:r>
      <w:r>
        <w:t xml:space="preserve">chievements that show the effectiveness of SDDC’s approach is shown in </w:t>
      </w:r>
      <w:r w:rsidR="00973B7A">
        <w:t>Table 5</w:t>
      </w:r>
      <w:r>
        <w:t>:</w:t>
      </w:r>
    </w:p>
    <w:p w14:paraId="5FAF1589" w14:textId="455F1EDD" w:rsidR="00973B7A" w:rsidRPr="00B54B54" w:rsidRDefault="00973B7A" w:rsidP="00B54B54">
      <w:pPr>
        <w:spacing w:after="0"/>
        <w:jc w:val="both"/>
        <w:rPr>
          <w:b/>
          <w:bCs/>
        </w:rPr>
      </w:pPr>
      <w:r w:rsidRPr="00B54B54">
        <w:rPr>
          <w:b/>
          <w:bCs/>
        </w:rPr>
        <w:t xml:space="preserve">Table </w:t>
      </w:r>
      <w:r>
        <w:rPr>
          <w:b/>
          <w:bCs/>
        </w:rPr>
        <w:t>5</w:t>
      </w:r>
      <w:r w:rsidRPr="00B54B54">
        <w:rPr>
          <w:b/>
          <w:bCs/>
        </w:rPr>
        <w:t xml:space="preserve">: </w:t>
      </w:r>
      <w:r w:rsidRPr="00973B7A">
        <w:rPr>
          <w:b/>
          <w:bCs/>
        </w:rPr>
        <w:t>Achievements</w:t>
      </w:r>
    </w:p>
    <w:tbl>
      <w:tblPr>
        <w:tblStyle w:val="TableGrid"/>
        <w:tblW w:w="0" w:type="auto"/>
        <w:tblLook w:val="04A0" w:firstRow="1" w:lastRow="0" w:firstColumn="1" w:lastColumn="0" w:noHBand="0" w:noVBand="1"/>
      </w:tblPr>
      <w:tblGrid>
        <w:gridCol w:w="4106"/>
        <w:gridCol w:w="5630"/>
      </w:tblGrid>
      <w:tr w:rsidR="009C656E" w14:paraId="5EB9F3AC" w14:textId="77777777" w:rsidTr="00332F10">
        <w:tc>
          <w:tcPr>
            <w:tcW w:w="4106" w:type="dxa"/>
            <w:shd w:val="clear" w:color="auto" w:fill="D9D9D9" w:themeFill="background1" w:themeFillShade="D9"/>
          </w:tcPr>
          <w:p w14:paraId="5ABE230D" w14:textId="4B316463" w:rsidR="009C656E" w:rsidRPr="009C656E" w:rsidRDefault="009C656E" w:rsidP="009C656E">
            <w:pPr>
              <w:rPr>
                <w:b/>
                <w:bCs/>
              </w:rPr>
            </w:pPr>
            <w:r w:rsidRPr="009C656E">
              <w:rPr>
                <w:b/>
                <w:bCs/>
              </w:rPr>
              <w:t xml:space="preserve">Achievement </w:t>
            </w:r>
          </w:p>
        </w:tc>
        <w:tc>
          <w:tcPr>
            <w:tcW w:w="5630" w:type="dxa"/>
            <w:shd w:val="clear" w:color="auto" w:fill="D9D9D9" w:themeFill="background1" w:themeFillShade="D9"/>
          </w:tcPr>
          <w:p w14:paraId="4B5388F5" w14:textId="6BD76928" w:rsidR="009C656E" w:rsidRPr="009C656E" w:rsidRDefault="009C656E" w:rsidP="009C656E">
            <w:pPr>
              <w:rPr>
                <w:b/>
                <w:bCs/>
              </w:rPr>
            </w:pPr>
            <w:r w:rsidRPr="009C656E">
              <w:rPr>
                <w:b/>
                <w:bCs/>
              </w:rPr>
              <w:t>Summary</w:t>
            </w:r>
          </w:p>
        </w:tc>
      </w:tr>
      <w:tr w:rsidR="009C656E" w14:paraId="50AE39D4" w14:textId="77777777" w:rsidTr="00332F10">
        <w:tc>
          <w:tcPr>
            <w:tcW w:w="4106" w:type="dxa"/>
          </w:tcPr>
          <w:p w14:paraId="1EC5F111" w14:textId="492B6A84" w:rsidR="009C656E" w:rsidRDefault="00D24989" w:rsidP="009C656E">
            <w:r>
              <w:t xml:space="preserve">Council </w:t>
            </w:r>
            <w:r w:rsidR="009C656E">
              <w:t xml:space="preserve">tracking carbon emissions </w:t>
            </w:r>
          </w:p>
        </w:tc>
        <w:tc>
          <w:tcPr>
            <w:tcW w:w="5630" w:type="dxa"/>
          </w:tcPr>
          <w:p w14:paraId="2ABDDC03" w14:textId="7C74C9BA" w:rsidR="009C656E" w:rsidRDefault="009C656E" w:rsidP="009C656E">
            <w:r>
              <w:t>Annual in-house Scope 1, 2 and 3 emissions</w:t>
            </w:r>
            <w:r w:rsidR="00C56F9E">
              <w:t xml:space="preserve"> tracked, and 2018/19 emission benchmark established</w:t>
            </w:r>
          </w:p>
        </w:tc>
      </w:tr>
      <w:tr w:rsidR="009C656E" w14:paraId="41CC0AAF" w14:textId="77777777" w:rsidTr="00332F10">
        <w:tc>
          <w:tcPr>
            <w:tcW w:w="4106" w:type="dxa"/>
          </w:tcPr>
          <w:p w14:paraId="46ED5295" w14:textId="21A237BA" w:rsidR="009C656E" w:rsidRDefault="00D24989" w:rsidP="009C656E">
            <w:r>
              <w:t xml:space="preserve">Council </w:t>
            </w:r>
            <w:r w:rsidR="009C656E">
              <w:t>Annual Carbon Report published</w:t>
            </w:r>
          </w:p>
        </w:tc>
        <w:tc>
          <w:tcPr>
            <w:tcW w:w="5630" w:type="dxa"/>
          </w:tcPr>
          <w:p w14:paraId="1985EC6F" w14:textId="67409204" w:rsidR="009C656E" w:rsidRDefault="009C656E" w:rsidP="009C656E">
            <w:r>
              <w:t xml:space="preserve">Annual in-house </w:t>
            </w:r>
            <w:r w:rsidR="00C56F9E">
              <w:t xml:space="preserve">and </w:t>
            </w:r>
            <w:r w:rsidR="00D24989">
              <w:t>D</w:t>
            </w:r>
            <w:r w:rsidR="00C56F9E">
              <w:t xml:space="preserve">istrict-wide reported emissions and analysed against emissions benchmark </w:t>
            </w:r>
          </w:p>
        </w:tc>
      </w:tr>
      <w:tr w:rsidR="009C656E" w14:paraId="1BB6F958" w14:textId="77777777" w:rsidTr="00332F10">
        <w:tc>
          <w:tcPr>
            <w:tcW w:w="4106" w:type="dxa"/>
          </w:tcPr>
          <w:p w14:paraId="4BC2A36E" w14:textId="5FC29826" w:rsidR="009C656E" w:rsidRDefault="00025703" w:rsidP="009C656E">
            <w:r>
              <w:t>Overall in-house carbon emissions have reduced year-on year</w:t>
            </w:r>
          </w:p>
        </w:tc>
        <w:tc>
          <w:tcPr>
            <w:tcW w:w="5630" w:type="dxa"/>
          </w:tcPr>
          <w:p w14:paraId="05049439" w14:textId="297612E9" w:rsidR="009C656E" w:rsidRDefault="00025703" w:rsidP="009C656E">
            <w:r>
              <w:t>Against 2018/19 benchmark, the 2021/22 in-house carbon emissions have reduced by 21.5%</w:t>
            </w:r>
          </w:p>
        </w:tc>
      </w:tr>
      <w:tr w:rsidR="009C656E" w14:paraId="56050697" w14:textId="77777777" w:rsidTr="00332F10">
        <w:tc>
          <w:tcPr>
            <w:tcW w:w="4106" w:type="dxa"/>
          </w:tcPr>
          <w:p w14:paraId="55886601" w14:textId="22FAD681" w:rsidR="009C656E" w:rsidRDefault="00E039F5" w:rsidP="009C656E">
            <w:r>
              <w:t>Most of the</w:t>
            </w:r>
            <w:r w:rsidR="00025703">
              <w:t xml:space="preserve"> in-house Scope 1 and 2 emissions are reducing year-on-year</w:t>
            </w:r>
          </w:p>
        </w:tc>
        <w:tc>
          <w:tcPr>
            <w:tcW w:w="5630" w:type="dxa"/>
          </w:tcPr>
          <w:p w14:paraId="6CBE27AD" w14:textId="59126685" w:rsidR="009C656E" w:rsidRDefault="00025703" w:rsidP="009C656E">
            <w:r>
              <w:t>Emissions from heat/gas, refrigerants and electricity have all reduced significantly from the 2018/19 baseline</w:t>
            </w:r>
            <w:r w:rsidR="00332F10">
              <w:t xml:space="preserve">. Only fleet vehicle emissions have increased. </w:t>
            </w:r>
          </w:p>
        </w:tc>
      </w:tr>
      <w:tr w:rsidR="009C656E" w14:paraId="49DFB064" w14:textId="77777777" w:rsidTr="00332F10">
        <w:tc>
          <w:tcPr>
            <w:tcW w:w="4106" w:type="dxa"/>
          </w:tcPr>
          <w:p w14:paraId="19DABAAE" w14:textId="0A46CD7A" w:rsidR="009C656E" w:rsidRDefault="00E039F5" w:rsidP="009C656E">
            <w:r>
              <w:t>Most</w:t>
            </w:r>
            <w:r w:rsidR="00332F10">
              <w:t xml:space="preserve"> in-house Scope 3 emissions are reducing year-on year </w:t>
            </w:r>
          </w:p>
        </w:tc>
        <w:tc>
          <w:tcPr>
            <w:tcW w:w="5630" w:type="dxa"/>
          </w:tcPr>
          <w:p w14:paraId="7738674B" w14:textId="381DD638" w:rsidR="009C656E" w:rsidRDefault="00332F10" w:rsidP="009C656E">
            <w:r>
              <w:t xml:space="preserve">Emissions from waste, water, employee commuting and grey fleet are showing significant reductions. </w:t>
            </w:r>
          </w:p>
        </w:tc>
      </w:tr>
      <w:tr w:rsidR="009C656E" w14:paraId="09CDFD3C" w14:textId="77777777" w:rsidTr="00332F10">
        <w:tc>
          <w:tcPr>
            <w:tcW w:w="4106" w:type="dxa"/>
          </w:tcPr>
          <w:p w14:paraId="257EC7D1" w14:textId="13C6FC20" w:rsidR="009C656E" w:rsidRDefault="00332F10" w:rsidP="009C656E">
            <w:r>
              <w:t>District-wide emissions are reducing year-on year</w:t>
            </w:r>
          </w:p>
        </w:tc>
        <w:tc>
          <w:tcPr>
            <w:tcW w:w="5630" w:type="dxa"/>
          </w:tcPr>
          <w:p w14:paraId="0BC46E74" w14:textId="5F20A458" w:rsidR="009C656E" w:rsidRDefault="00332F10" w:rsidP="009C656E">
            <w:r>
              <w:t>District-wide emissions have reduced by 4% since the 2017/18 benchmark</w:t>
            </w:r>
          </w:p>
        </w:tc>
      </w:tr>
      <w:tr w:rsidR="00217B48" w14:paraId="4821685D" w14:textId="77777777" w:rsidTr="00332F10">
        <w:tc>
          <w:tcPr>
            <w:tcW w:w="4106" w:type="dxa"/>
          </w:tcPr>
          <w:p w14:paraId="56325F62" w14:textId="332E8D2E" w:rsidR="00217B48" w:rsidRDefault="00217B48" w:rsidP="009C656E">
            <w:r>
              <w:t>SDDC ha</w:t>
            </w:r>
            <w:r w:rsidR="00D24989">
              <w:t>s</w:t>
            </w:r>
            <w:r>
              <w:t xml:space="preserve"> started to track Scope 3 Supply Chain emissions</w:t>
            </w:r>
          </w:p>
        </w:tc>
        <w:tc>
          <w:tcPr>
            <w:tcW w:w="5630" w:type="dxa"/>
          </w:tcPr>
          <w:p w14:paraId="658205B2" w14:textId="522B687B" w:rsidR="00217B48" w:rsidRDefault="00217B48" w:rsidP="009C656E">
            <w:r>
              <w:t>Scope 3 Supply Chain carbon emissions are over three times the size of SDDC in-house emissions</w:t>
            </w:r>
          </w:p>
        </w:tc>
      </w:tr>
      <w:tr w:rsidR="009C656E" w14:paraId="0244BEC2" w14:textId="77777777" w:rsidTr="00332F10">
        <w:tc>
          <w:tcPr>
            <w:tcW w:w="4106" w:type="dxa"/>
          </w:tcPr>
          <w:p w14:paraId="3E7896E7" w14:textId="0964476D" w:rsidR="009C656E" w:rsidRDefault="00332F10" w:rsidP="009C656E">
            <w:r>
              <w:t xml:space="preserve">District-wide emissions per head of population are reducing </w:t>
            </w:r>
          </w:p>
        </w:tc>
        <w:tc>
          <w:tcPr>
            <w:tcW w:w="5630" w:type="dxa"/>
          </w:tcPr>
          <w:p w14:paraId="3341E6EC" w14:textId="28D053BA" w:rsidR="009C656E" w:rsidRDefault="00332F10" w:rsidP="009C656E">
            <w:r>
              <w:t>E</w:t>
            </w:r>
            <w:r w:rsidR="00C00297">
              <w:t xml:space="preserve">missions per head of population have reduced by 9% from the 2017/18 benchmark </w:t>
            </w:r>
          </w:p>
        </w:tc>
      </w:tr>
      <w:tr w:rsidR="009C656E" w14:paraId="2BE88406" w14:textId="77777777" w:rsidTr="00332F10">
        <w:tc>
          <w:tcPr>
            <w:tcW w:w="4106" w:type="dxa"/>
          </w:tcPr>
          <w:p w14:paraId="2256D5D8" w14:textId="1BEADC81" w:rsidR="009C656E" w:rsidRDefault="00C00297" w:rsidP="009C656E">
            <w:r>
              <w:t xml:space="preserve">Compared to other </w:t>
            </w:r>
            <w:r w:rsidR="00D24989">
              <w:t>d</w:t>
            </w:r>
            <w:r>
              <w:t>istricts in Derbyshire</w:t>
            </w:r>
          </w:p>
        </w:tc>
        <w:tc>
          <w:tcPr>
            <w:tcW w:w="5630" w:type="dxa"/>
          </w:tcPr>
          <w:p w14:paraId="7856903E" w14:textId="5E4EA8A8" w:rsidR="009C656E" w:rsidRDefault="00C00297" w:rsidP="00C00297">
            <w:r>
              <w:t xml:space="preserve">Although the total emissions of South Derbyshire are the third highest in Derbyshire, the reduction in emissions per head of population is the third highest. </w:t>
            </w:r>
          </w:p>
        </w:tc>
      </w:tr>
    </w:tbl>
    <w:p w14:paraId="3473AB86" w14:textId="20DB62FB" w:rsidR="009C656E" w:rsidRDefault="009C656E" w:rsidP="009C656E"/>
    <w:p w14:paraId="787AF6F5" w14:textId="54613C0A" w:rsidR="00FD7F45" w:rsidRDefault="00FD7F45" w:rsidP="00B54B54">
      <w:pPr>
        <w:jc w:val="both"/>
      </w:pPr>
      <w:r>
        <w:t xml:space="preserve">Covid19 has had its impact on SDDC’s carbon emissions, with the temporary closures of Leisure Centres and the increase in working from home reducing the consumption of energy, the carbon emissions from these energy sources have also reduced. </w:t>
      </w:r>
    </w:p>
    <w:p w14:paraId="5CAE35F5" w14:textId="32E1B652" w:rsidR="005C2124" w:rsidRDefault="005C2124">
      <w:pPr>
        <w:jc w:val="both"/>
      </w:pPr>
      <w:r>
        <w:t xml:space="preserve">Although SDDC still has a long way to go to achieve carbon neutrality, this 2021/22 Annual Carbon Report illustrates that SDDC </w:t>
      </w:r>
      <w:r w:rsidR="009D09F0">
        <w:t>has made a solid start to its</w:t>
      </w:r>
      <w:r>
        <w:t xml:space="preserve"> carbon emission reduction journey</w:t>
      </w:r>
      <w:r w:rsidR="009D09F0">
        <w:t>. It also demonstrates that t</w:t>
      </w:r>
      <w:r>
        <w:t xml:space="preserve">he decarbonisation actions that have been planned and implemented are starting to become effective. The overall carbon emission total of 1957 tCO2e for 2021/22 and the individual carbon emissions from the </w:t>
      </w:r>
      <w:r w:rsidR="00590010">
        <w:t xml:space="preserve">in-house source locations are in alignment with the Council’s in-house carbon roadmap of achieving carbon neutral by 2030, as shown </w:t>
      </w:r>
      <w:r w:rsidR="009D09F0">
        <w:t>in Figure 6</w:t>
      </w:r>
      <w:r w:rsidR="00590010">
        <w:t>:</w:t>
      </w:r>
    </w:p>
    <w:p w14:paraId="7E3FB2CA" w14:textId="27C37FF5" w:rsidR="009D09F0" w:rsidRPr="00B54B54" w:rsidRDefault="009D09F0" w:rsidP="00B54B54">
      <w:pPr>
        <w:spacing w:after="0"/>
        <w:jc w:val="both"/>
        <w:rPr>
          <w:b/>
          <w:bCs/>
        </w:rPr>
      </w:pPr>
      <w:r w:rsidRPr="00B54B54">
        <w:rPr>
          <w:b/>
          <w:bCs/>
        </w:rPr>
        <w:t>Figure 6: SDDC Carbon Reduction Roadmap</w:t>
      </w:r>
    </w:p>
    <w:p w14:paraId="31491B6F" w14:textId="3BF24117" w:rsidR="005C2124" w:rsidRDefault="005C2124" w:rsidP="00FD7F45">
      <w:r w:rsidRPr="00CF425E">
        <w:rPr>
          <w:noProof/>
          <w:shd w:val="clear" w:color="auto" w:fill="2D0054" w:themeFill="text2"/>
        </w:rPr>
        <w:drawing>
          <wp:inline distT="0" distB="0" distL="0" distR="0" wp14:anchorId="57B7EE70" wp14:editId="3EA59B5A">
            <wp:extent cx="6188710" cy="2127250"/>
            <wp:effectExtent l="0" t="0" r="2540" b="63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2030336" w14:textId="62B35328" w:rsidR="00435113" w:rsidRDefault="00FD7F45" w:rsidP="00B54B54">
      <w:pPr>
        <w:jc w:val="both"/>
      </w:pPr>
      <w:r>
        <w:lastRenderedPageBreak/>
        <w:t>Both the achievements of SDDC’s actions and the impact of Covid19 illustrate that decarbonisation us achievable and the</w:t>
      </w:r>
      <w:r w:rsidR="00102A19">
        <w:t xml:space="preserve"> co-benefit </w:t>
      </w:r>
      <w:r w:rsidR="00BE30DE">
        <w:t>of emission</w:t>
      </w:r>
      <w:r w:rsidR="00102A19">
        <w:t xml:space="preserve"> reduction</w:t>
      </w:r>
      <w:r>
        <w:t xml:space="preserve"> </w:t>
      </w:r>
      <w:r w:rsidR="00102A19">
        <w:t xml:space="preserve">will be </w:t>
      </w:r>
      <w:r>
        <w:t xml:space="preserve">reduced </w:t>
      </w:r>
      <w:r w:rsidR="00102A19">
        <w:t xml:space="preserve">energy consumption </w:t>
      </w:r>
      <w:r w:rsidR="00BE30DE">
        <w:t xml:space="preserve">that leads to </w:t>
      </w:r>
      <w:r w:rsidR="00102A19">
        <w:t>lower operational running costs for the public buildings and vehicle fleet.</w:t>
      </w:r>
    </w:p>
    <w:p w14:paraId="364E169C" w14:textId="22917C85" w:rsidR="00435113" w:rsidRDefault="00435113" w:rsidP="00435113">
      <w:pPr>
        <w:pStyle w:val="Heading1"/>
        <w:numPr>
          <w:ilvl w:val="0"/>
          <w:numId w:val="22"/>
        </w:numPr>
      </w:pPr>
      <w:bookmarkStart w:id="14" w:name="_Toc105427817"/>
      <w:r>
        <w:t>Recommendations</w:t>
      </w:r>
      <w:bookmarkEnd w:id="14"/>
      <w:r>
        <w:t xml:space="preserve"> </w:t>
      </w:r>
    </w:p>
    <w:p w14:paraId="123C6D55" w14:textId="3E43B142" w:rsidR="00A07B0E" w:rsidRDefault="00DE0782" w:rsidP="00B54B54">
      <w:pPr>
        <w:jc w:val="both"/>
      </w:pPr>
      <w:r>
        <w:t xml:space="preserve">The tracking, analysis and achievements of SDDC’s in-house carbon emissions also demonstrates what else needs to be done to ensure </w:t>
      </w:r>
      <w:r w:rsidR="00A07B0E">
        <w:t>the carbon neutral targets and commitments will be met. The table below shows the recommendations and next steps required that will support SDDC’s carbon neutral journey that should be fed into the annual review of the Climate and Environment Action Plan 2021-30.</w:t>
      </w:r>
    </w:p>
    <w:tbl>
      <w:tblPr>
        <w:tblStyle w:val="TableGrid"/>
        <w:tblW w:w="0" w:type="auto"/>
        <w:tblLook w:val="04A0" w:firstRow="1" w:lastRow="0" w:firstColumn="1" w:lastColumn="0" w:noHBand="0" w:noVBand="1"/>
      </w:tblPr>
      <w:tblGrid>
        <w:gridCol w:w="4868"/>
        <w:gridCol w:w="4868"/>
      </w:tblGrid>
      <w:tr w:rsidR="00A07B0E" w14:paraId="2A2713B9" w14:textId="77777777" w:rsidTr="000508CE">
        <w:tc>
          <w:tcPr>
            <w:tcW w:w="4868" w:type="dxa"/>
            <w:shd w:val="clear" w:color="auto" w:fill="D9D9D9" w:themeFill="background1" w:themeFillShade="D9"/>
          </w:tcPr>
          <w:p w14:paraId="309528D2" w14:textId="09B2F085" w:rsidR="00A07B0E" w:rsidRPr="000508CE" w:rsidRDefault="000508CE" w:rsidP="00BE30DE">
            <w:pPr>
              <w:rPr>
                <w:b/>
                <w:bCs/>
              </w:rPr>
            </w:pPr>
            <w:r w:rsidRPr="000508CE">
              <w:rPr>
                <w:b/>
                <w:bCs/>
              </w:rPr>
              <w:t xml:space="preserve">Recommendations </w:t>
            </w:r>
          </w:p>
        </w:tc>
        <w:tc>
          <w:tcPr>
            <w:tcW w:w="4868" w:type="dxa"/>
            <w:shd w:val="clear" w:color="auto" w:fill="D9D9D9" w:themeFill="background1" w:themeFillShade="D9"/>
          </w:tcPr>
          <w:p w14:paraId="654BDB40" w14:textId="02B89DE0" w:rsidR="00A07B0E" w:rsidRPr="000508CE" w:rsidRDefault="000508CE" w:rsidP="00BE30DE">
            <w:pPr>
              <w:rPr>
                <w:b/>
                <w:bCs/>
              </w:rPr>
            </w:pPr>
            <w:r w:rsidRPr="000508CE">
              <w:rPr>
                <w:b/>
                <w:bCs/>
              </w:rPr>
              <w:t>Next Steps</w:t>
            </w:r>
          </w:p>
        </w:tc>
      </w:tr>
      <w:tr w:rsidR="00A07B0E" w14:paraId="2811492D" w14:textId="77777777" w:rsidTr="00A07B0E">
        <w:tc>
          <w:tcPr>
            <w:tcW w:w="4868" w:type="dxa"/>
          </w:tcPr>
          <w:p w14:paraId="382C6225" w14:textId="1C19FC95" w:rsidR="000508CE" w:rsidRDefault="0028163F" w:rsidP="000508CE">
            <w:r>
              <w:t xml:space="preserve">Highlight the co-benefit of reducing carbon emissions – the reduction of energy consumption </w:t>
            </w:r>
            <w:r w:rsidR="007E7532">
              <w:t>and</w:t>
            </w:r>
            <w:r>
              <w:t xml:space="preserve"> subsequent operational costs</w:t>
            </w:r>
          </w:p>
        </w:tc>
        <w:tc>
          <w:tcPr>
            <w:tcW w:w="4868" w:type="dxa"/>
          </w:tcPr>
          <w:p w14:paraId="19BDF94A" w14:textId="58006EE5" w:rsidR="00A07B0E" w:rsidRDefault="00BA0538" w:rsidP="00BE30DE">
            <w:r>
              <w:t xml:space="preserve">Review and prioritise all energy reduction actions </w:t>
            </w:r>
            <w:r w:rsidR="00E039F5">
              <w:t>considering</w:t>
            </w:r>
            <w:r>
              <w:t xml:space="preserve"> high energy prices </w:t>
            </w:r>
          </w:p>
        </w:tc>
      </w:tr>
      <w:tr w:rsidR="00A07B0E" w14:paraId="50E462F5" w14:textId="77777777" w:rsidTr="00A07B0E">
        <w:tc>
          <w:tcPr>
            <w:tcW w:w="4868" w:type="dxa"/>
          </w:tcPr>
          <w:p w14:paraId="06773440" w14:textId="7B2B01E0" w:rsidR="000508CE" w:rsidRDefault="000508CE" w:rsidP="000508CE">
            <w:r>
              <w:t>Highlight high</w:t>
            </w:r>
            <w:r w:rsidR="00AD3E13">
              <w:t xml:space="preserve">est </w:t>
            </w:r>
            <w:r>
              <w:t xml:space="preserve">carbon emission sources:    </w:t>
            </w:r>
          </w:p>
          <w:p w14:paraId="261C1C72" w14:textId="77777777" w:rsidR="000508CE" w:rsidRDefault="000508CE" w:rsidP="000508CE">
            <w:pPr>
              <w:pStyle w:val="ListParagraph"/>
              <w:numPr>
                <w:ilvl w:val="0"/>
                <w:numId w:val="39"/>
              </w:numPr>
            </w:pPr>
            <w:r>
              <w:t>Vehicle Fleet</w:t>
            </w:r>
          </w:p>
          <w:p w14:paraId="3A310D27" w14:textId="1F7C06CD" w:rsidR="00A07B0E" w:rsidRDefault="000508CE" w:rsidP="000508CE">
            <w:pPr>
              <w:pStyle w:val="ListParagraph"/>
              <w:numPr>
                <w:ilvl w:val="0"/>
                <w:numId w:val="39"/>
              </w:numPr>
            </w:pPr>
            <w:r>
              <w:t>Heat/Gas consumption</w:t>
            </w:r>
          </w:p>
        </w:tc>
        <w:tc>
          <w:tcPr>
            <w:tcW w:w="4868" w:type="dxa"/>
          </w:tcPr>
          <w:p w14:paraId="06D267CA" w14:textId="19DAF8BB" w:rsidR="00A07B0E" w:rsidRDefault="007F379A" w:rsidP="00BE30DE">
            <w:r>
              <w:t xml:space="preserve">Ensure </w:t>
            </w:r>
            <w:r w:rsidR="00581443">
              <w:t xml:space="preserve">the continuation </w:t>
            </w:r>
            <w:r>
              <w:t xml:space="preserve">all decarbonisation actions for these sources </w:t>
            </w:r>
            <w:r w:rsidR="00581443">
              <w:t xml:space="preserve">and funding opportunities </w:t>
            </w:r>
            <w:r w:rsidR="00D53DB2">
              <w:t>continue to be exploited to support their effectiveness.</w:t>
            </w:r>
            <w:r>
              <w:t xml:space="preserve"> </w:t>
            </w:r>
          </w:p>
        </w:tc>
      </w:tr>
      <w:tr w:rsidR="00A07B0E" w14:paraId="4F674C77" w14:textId="77777777" w:rsidTr="00A07B0E">
        <w:tc>
          <w:tcPr>
            <w:tcW w:w="4868" w:type="dxa"/>
          </w:tcPr>
          <w:p w14:paraId="5A07BEC4" w14:textId="3E32BB79" w:rsidR="00A07B0E" w:rsidRDefault="0028163F" w:rsidP="00BE30DE">
            <w:r>
              <w:t>Highlight the high</w:t>
            </w:r>
            <w:r w:rsidR="00AD3E13">
              <w:t>est</w:t>
            </w:r>
            <w:r>
              <w:t xml:space="preserve"> carbon emission SDDC locations:</w:t>
            </w:r>
          </w:p>
          <w:p w14:paraId="6B743709" w14:textId="77777777" w:rsidR="0028163F" w:rsidRDefault="0028163F" w:rsidP="0028163F">
            <w:pPr>
              <w:pStyle w:val="ListParagraph"/>
              <w:numPr>
                <w:ilvl w:val="0"/>
                <w:numId w:val="40"/>
              </w:numPr>
            </w:pPr>
            <w:r>
              <w:t>Greenbank Leisure Centre</w:t>
            </w:r>
          </w:p>
          <w:p w14:paraId="0F753E0D" w14:textId="77777777" w:rsidR="0028163F" w:rsidRDefault="0028163F" w:rsidP="0028163F">
            <w:pPr>
              <w:pStyle w:val="ListParagraph"/>
              <w:numPr>
                <w:ilvl w:val="0"/>
                <w:numId w:val="40"/>
              </w:numPr>
            </w:pPr>
            <w:r>
              <w:t>Etwall Leisure Centre</w:t>
            </w:r>
          </w:p>
          <w:p w14:paraId="3C8BA940" w14:textId="77777777" w:rsidR="0028163F" w:rsidRDefault="0028163F" w:rsidP="0028163F">
            <w:pPr>
              <w:pStyle w:val="ListParagraph"/>
              <w:numPr>
                <w:ilvl w:val="0"/>
                <w:numId w:val="40"/>
              </w:numPr>
            </w:pPr>
            <w:r>
              <w:t xml:space="preserve">Rosliston Centre </w:t>
            </w:r>
          </w:p>
          <w:p w14:paraId="64B54225" w14:textId="7D3C4672" w:rsidR="0028163F" w:rsidRDefault="0028163F" w:rsidP="0028163F">
            <w:pPr>
              <w:pStyle w:val="ListParagraph"/>
              <w:numPr>
                <w:ilvl w:val="0"/>
                <w:numId w:val="40"/>
              </w:numPr>
            </w:pPr>
            <w:r>
              <w:t xml:space="preserve">Civic Offices </w:t>
            </w:r>
          </w:p>
        </w:tc>
        <w:tc>
          <w:tcPr>
            <w:tcW w:w="4868" w:type="dxa"/>
          </w:tcPr>
          <w:p w14:paraId="18B769EC" w14:textId="1A2E6079" w:rsidR="00A07B0E" w:rsidRDefault="00D53DB2" w:rsidP="00BE30DE">
            <w:r>
              <w:t xml:space="preserve">Actions have already started, and focus should be on continuing to </w:t>
            </w:r>
            <w:r w:rsidR="007F379A">
              <w:t xml:space="preserve">embed in specific </w:t>
            </w:r>
            <w:r>
              <w:t xml:space="preserve">carbon reduction </w:t>
            </w:r>
            <w:r w:rsidR="007F379A">
              <w:t>action for these locations</w:t>
            </w:r>
            <w:r>
              <w:t>. As these locations require high-cost action to reduce carbon emissions, then priority is to ensure all plans are ready to exploit any external funding opportunities.</w:t>
            </w:r>
          </w:p>
        </w:tc>
      </w:tr>
      <w:tr w:rsidR="00A07B0E" w14:paraId="0F9686E1" w14:textId="77777777" w:rsidTr="00A07B0E">
        <w:tc>
          <w:tcPr>
            <w:tcW w:w="4868" w:type="dxa"/>
          </w:tcPr>
          <w:p w14:paraId="01F685EC" w14:textId="77777777" w:rsidR="00A07B0E" w:rsidRDefault="00AD3E13" w:rsidP="00BE30DE">
            <w:r>
              <w:t>Highlight the highest carbon emission sources</w:t>
            </w:r>
          </w:p>
          <w:p w14:paraId="76B9D1F1" w14:textId="77777777" w:rsidR="00AD3E13" w:rsidRDefault="00AD3E13" w:rsidP="00AD3E13">
            <w:pPr>
              <w:pStyle w:val="ListParagraph"/>
              <w:numPr>
                <w:ilvl w:val="0"/>
                <w:numId w:val="41"/>
              </w:numPr>
            </w:pPr>
            <w:r>
              <w:t>Heat/Gas</w:t>
            </w:r>
          </w:p>
          <w:p w14:paraId="48ED40E1" w14:textId="250E0889" w:rsidR="00AD3E13" w:rsidRDefault="00AD3E13" w:rsidP="00AD3E13">
            <w:pPr>
              <w:pStyle w:val="ListParagraph"/>
              <w:numPr>
                <w:ilvl w:val="0"/>
                <w:numId w:val="41"/>
              </w:numPr>
            </w:pPr>
            <w:r>
              <w:t xml:space="preserve">Diesel fuel </w:t>
            </w:r>
          </w:p>
        </w:tc>
        <w:tc>
          <w:tcPr>
            <w:tcW w:w="4868" w:type="dxa"/>
          </w:tcPr>
          <w:p w14:paraId="50DED4CC" w14:textId="2D4DD255" w:rsidR="00A07B0E" w:rsidRDefault="007F379A" w:rsidP="00BE30DE">
            <w:r>
              <w:t xml:space="preserve">Prioritise actions that are specifically focused on these two emission sources </w:t>
            </w:r>
          </w:p>
        </w:tc>
      </w:tr>
      <w:tr w:rsidR="00A07B0E" w14:paraId="46142165" w14:textId="77777777" w:rsidTr="00A07B0E">
        <w:tc>
          <w:tcPr>
            <w:tcW w:w="4868" w:type="dxa"/>
          </w:tcPr>
          <w:p w14:paraId="1CC12761" w14:textId="65841FD7" w:rsidR="00A07B0E" w:rsidRDefault="00AD3E13" w:rsidP="00BE30DE">
            <w:r>
              <w:t xml:space="preserve">Highlight the scale of Scope 3 Supply Chain carbon emissions </w:t>
            </w:r>
          </w:p>
        </w:tc>
        <w:tc>
          <w:tcPr>
            <w:tcW w:w="4868" w:type="dxa"/>
          </w:tcPr>
          <w:p w14:paraId="39106C36" w14:textId="63876133" w:rsidR="00A07B0E" w:rsidRDefault="007F379A" w:rsidP="00BE30DE">
            <w:r>
              <w:t xml:space="preserve">Establish next steps for tacking Supply Chain emissions </w:t>
            </w:r>
          </w:p>
        </w:tc>
      </w:tr>
      <w:tr w:rsidR="00A07B0E" w14:paraId="5886163D" w14:textId="77777777" w:rsidTr="00A07B0E">
        <w:tc>
          <w:tcPr>
            <w:tcW w:w="4868" w:type="dxa"/>
          </w:tcPr>
          <w:p w14:paraId="0D51E800" w14:textId="13A4103F" w:rsidR="00A07B0E" w:rsidRDefault="00AD3E13" w:rsidP="00BE30DE">
            <w:r>
              <w:t xml:space="preserve">Highlight the largest District-wide carbon emission categories </w:t>
            </w:r>
          </w:p>
        </w:tc>
        <w:tc>
          <w:tcPr>
            <w:tcW w:w="4868" w:type="dxa"/>
          </w:tcPr>
          <w:p w14:paraId="1A3E0658" w14:textId="2BFBB10E" w:rsidR="00A07B0E" w:rsidRDefault="00425C0E" w:rsidP="00BE30DE">
            <w:r>
              <w:t xml:space="preserve">Create league table of </w:t>
            </w:r>
            <w:r w:rsidR="007E7532">
              <w:t>D</w:t>
            </w:r>
            <w:r>
              <w:t xml:space="preserve">istrict-wide carbon emission sectors for South Derbyshire </w:t>
            </w:r>
          </w:p>
        </w:tc>
      </w:tr>
      <w:tr w:rsidR="00A07B0E" w14:paraId="5A76AFCD" w14:textId="77777777" w:rsidTr="00A07B0E">
        <w:tc>
          <w:tcPr>
            <w:tcW w:w="4868" w:type="dxa"/>
          </w:tcPr>
          <w:p w14:paraId="2B100BD0" w14:textId="2DA5ADAE" w:rsidR="00A07B0E" w:rsidRDefault="00AD3E13" w:rsidP="00BE30DE">
            <w:r>
              <w:t xml:space="preserve">Identify how </w:t>
            </w:r>
            <w:r w:rsidR="00D53DB2">
              <w:t xml:space="preserve">other Districts </w:t>
            </w:r>
            <w:r>
              <w:t xml:space="preserve">are reducing their district-wide emissions </w:t>
            </w:r>
          </w:p>
        </w:tc>
        <w:tc>
          <w:tcPr>
            <w:tcW w:w="4868" w:type="dxa"/>
          </w:tcPr>
          <w:p w14:paraId="21A1E263" w14:textId="65D5421B" w:rsidR="00A07B0E" w:rsidRDefault="00425C0E" w:rsidP="00BE30DE">
            <w:r>
              <w:t xml:space="preserve">Compare SDDC </w:t>
            </w:r>
            <w:r w:rsidR="007E7532">
              <w:t>D</w:t>
            </w:r>
            <w:r>
              <w:t xml:space="preserve">istrict-wide actions with </w:t>
            </w:r>
            <w:r w:rsidR="00A216D7">
              <w:t xml:space="preserve">all </w:t>
            </w:r>
            <w:r w:rsidR="00601CC2">
              <w:t xml:space="preserve">other Districts to </w:t>
            </w:r>
            <w:r>
              <w:t xml:space="preserve">include any specific </w:t>
            </w:r>
            <w:r w:rsidR="00A216D7">
              <w:t xml:space="preserve">best practice </w:t>
            </w:r>
            <w:r>
              <w:t xml:space="preserve">actions SDDC are missing. </w:t>
            </w:r>
          </w:p>
        </w:tc>
      </w:tr>
      <w:tr w:rsidR="00A07B0E" w14:paraId="6C816643" w14:textId="77777777" w:rsidTr="00A07B0E">
        <w:tc>
          <w:tcPr>
            <w:tcW w:w="4868" w:type="dxa"/>
          </w:tcPr>
          <w:p w14:paraId="16434263" w14:textId="1AA2AFBA" w:rsidR="00A07B0E" w:rsidRDefault="00BA0538" w:rsidP="00BE30DE">
            <w:r>
              <w:t xml:space="preserve">Use the Annual Carbon Report in reviewing decarbonisation actions </w:t>
            </w:r>
          </w:p>
        </w:tc>
        <w:tc>
          <w:tcPr>
            <w:tcW w:w="4868" w:type="dxa"/>
          </w:tcPr>
          <w:p w14:paraId="2D568D8F" w14:textId="71AFB72E" w:rsidR="00A07B0E" w:rsidRDefault="00425C0E" w:rsidP="00BE30DE">
            <w:r>
              <w:t xml:space="preserve">Feed recommendations and learnings of this Report into the Climate and Environment Action Plan reviewing programme. </w:t>
            </w:r>
          </w:p>
        </w:tc>
      </w:tr>
    </w:tbl>
    <w:p w14:paraId="45F3FBD4" w14:textId="7A65ED6C" w:rsidR="00A07B0E" w:rsidRDefault="00A07B0E" w:rsidP="00425C0E"/>
    <w:p w14:paraId="335254F3" w14:textId="025270A7" w:rsidR="00DB0B4B" w:rsidRDefault="00DB0B4B" w:rsidP="00425C0E"/>
    <w:sectPr w:rsidR="00DB0B4B" w:rsidSect="00E45FAA">
      <w:headerReference w:type="default" r:id="rId17"/>
      <w:footerReference w:type="default" r:id="rId18"/>
      <w:headerReference w:type="first" r:id="rId19"/>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87C0D" w14:textId="77777777" w:rsidR="00FB0B65" w:rsidRDefault="00FB0B65" w:rsidP="001030EA">
      <w:pPr>
        <w:spacing w:after="0" w:line="240" w:lineRule="auto"/>
      </w:pPr>
      <w:r>
        <w:separator/>
      </w:r>
    </w:p>
  </w:endnote>
  <w:endnote w:type="continuationSeparator" w:id="0">
    <w:p w14:paraId="33E78AFE" w14:textId="77777777" w:rsidR="00FB0B65" w:rsidRDefault="00FB0B65" w:rsidP="00103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leo">
    <w:altName w:val="Aleo"/>
    <w:charset w:val="00"/>
    <w:family w:val="auto"/>
    <w:pitch w:val="variable"/>
    <w:sig w:usb0="00000007" w:usb1="00000000" w:usb2="00000000" w:usb3="00000000" w:csb0="00000083"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ndara" w:hAnsi="Candara"/>
        <w:sz w:val="20"/>
        <w:szCs w:val="20"/>
      </w:rPr>
      <w:id w:val="526919456"/>
      <w:docPartObj>
        <w:docPartGallery w:val="Page Numbers (Bottom of Page)"/>
        <w:docPartUnique/>
      </w:docPartObj>
    </w:sdtPr>
    <w:sdtEndPr>
      <w:rPr>
        <w:rFonts w:ascii="Trebuchet MS" w:hAnsi="Trebuchet MS"/>
        <w:noProof/>
      </w:rPr>
    </w:sdtEndPr>
    <w:sdtContent>
      <w:p w14:paraId="423446F8" w14:textId="77777777" w:rsidR="001030EA" w:rsidRPr="00E45FAA" w:rsidRDefault="001030EA" w:rsidP="00E45FAA">
        <w:pPr>
          <w:pStyle w:val="Footer"/>
          <w:rPr>
            <w:rFonts w:ascii="Trebuchet MS" w:hAnsi="Trebuchet MS"/>
            <w:sz w:val="20"/>
            <w:szCs w:val="20"/>
          </w:rPr>
        </w:pPr>
        <w:r w:rsidRPr="00E45FAA">
          <w:rPr>
            <w:rFonts w:ascii="Trebuchet MS" w:hAnsi="Trebuchet MS"/>
            <w:sz w:val="20"/>
            <w:szCs w:val="20"/>
          </w:rPr>
          <w:t xml:space="preserve">Page | </w:t>
        </w:r>
        <w:r w:rsidRPr="00E45FAA">
          <w:rPr>
            <w:rFonts w:ascii="Trebuchet MS" w:hAnsi="Trebuchet MS"/>
            <w:sz w:val="20"/>
            <w:szCs w:val="20"/>
          </w:rPr>
          <w:fldChar w:fldCharType="begin"/>
        </w:r>
        <w:r w:rsidRPr="00E45FAA">
          <w:rPr>
            <w:rFonts w:ascii="Trebuchet MS" w:hAnsi="Trebuchet MS"/>
            <w:sz w:val="20"/>
            <w:szCs w:val="20"/>
          </w:rPr>
          <w:instrText xml:space="preserve"> PAGE   \* MERGEFORMAT </w:instrText>
        </w:r>
        <w:r w:rsidRPr="00E45FAA">
          <w:rPr>
            <w:rFonts w:ascii="Trebuchet MS" w:hAnsi="Trebuchet MS"/>
            <w:sz w:val="20"/>
            <w:szCs w:val="20"/>
          </w:rPr>
          <w:fldChar w:fldCharType="separate"/>
        </w:r>
        <w:r w:rsidR="00A17154">
          <w:rPr>
            <w:rFonts w:ascii="Trebuchet MS" w:hAnsi="Trebuchet MS"/>
            <w:noProof/>
            <w:sz w:val="20"/>
            <w:szCs w:val="20"/>
          </w:rPr>
          <w:t>4</w:t>
        </w:r>
        <w:r w:rsidRPr="00E45FAA">
          <w:rPr>
            <w:rFonts w:ascii="Trebuchet MS" w:hAnsi="Trebuchet MS"/>
            <w:noProof/>
            <w:sz w:val="20"/>
            <w:szCs w:val="20"/>
          </w:rPr>
          <w:fldChar w:fldCharType="end"/>
        </w:r>
        <w:r w:rsidRPr="00E45FAA">
          <w:rPr>
            <w:rFonts w:ascii="Trebuchet MS" w:hAnsi="Trebuchet MS"/>
            <w:noProof/>
            <w:sz w:val="20"/>
            <w:szCs w:val="20"/>
          </w:rPr>
          <w:t xml:space="preserve"> | </w:t>
        </w:r>
        <w:r w:rsidRPr="00E45FAA">
          <w:rPr>
            <w:rFonts w:ascii="Trebuchet MS" w:hAnsi="Trebuchet MS"/>
            <w:noProof/>
            <w:sz w:val="20"/>
            <w:szCs w:val="20"/>
          </w:rPr>
          <w:tab/>
        </w:r>
        <w:r w:rsidR="00E45FAA" w:rsidRPr="00E45FAA">
          <w:rPr>
            <w:rFonts w:ascii="Trebuchet MS" w:hAnsi="Trebuchet MS"/>
            <w:noProof/>
            <w:sz w:val="20"/>
            <w:szCs w:val="20"/>
          </w:rPr>
          <w:tab/>
        </w:r>
        <w:r w:rsidR="00E45FAA" w:rsidRPr="00E45FAA">
          <w:rPr>
            <w:rFonts w:ascii="Trebuchet MS" w:hAnsi="Trebuchet MS"/>
            <w:b/>
            <w:noProof/>
            <w:sz w:val="20"/>
            <w:szCs w:val="20"/>
          </w:rPr>
          <w:t>South Derbyshire</w:t>
        </w:r>
        <w:r w:rsidR="00E45FAA" w:rsidRPr="00E45FAA">
          <w:rPr>
            <w:rFonts w:ascii="Trebuchet MS" w:hAnsi="Trebuchet MS"/>
            <w:noProof/>
            <w:sz w:val="20"/>
            <w:szCs w:val="20"/>
          </w:rPr>
          <w:t xml:space="preserve"> Changing for the better</w:t>
        </w:r>
      </w:p>
    </w:sdtContent>
  </w:sdt>
  <w:p w14:paraId="54CD245A" w14:textId="77777777" w:rsidR="001030EA" w:rsidRDefault="00103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E0C6A" w14:textId="77777777" w:rsidR="00FB0B65" w:rsidRDefault="00FB0B65" w:rsidP="001030EA">
      <w:pPr>
        <w:spacing w:after="0" w:line="240" w:lineRule="auto"/>
      </w:pPr>
      <w:r>
        <w:separator/>
      </w:r>
    </w:p>
  </w:footnote>
  <w:footnote w:type="continuationSeparator" w:id="0">
    <w:p w14:paraId="445DE221" w14:textId="77777777" w:rsidR="00FB0B65" w:rsidRDefault="00FB0B65" w:rsidP="00103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F446B" w14:textId="463FFC4D" w:rsidR="001030EA" w:rsidRPr="00876DB0" w:rsidRDefault="00D00138" w:rsidP="001030EA">
    <w:pPr>
      <w:pStyle w:val="Header"/>
      <w:rPr>
        <w:rFonts w:ascii="Trebuchet MS" w:hAnsi="Trebuchet MS"/>
        <w:b/>
        <w:sz w:val="16"/>
        <w:szCs w:val="16"/>
      </w:rPr>
    </w:pPr>
    <w:r>
      <w:rPr>
        <w:rFonts w:ascii="Trebuchet MS" w:hAnsi="Trebuchet MS"/>
        <w:b/>
        <w:sz w:val="16"/>
        <w:szCs w:val="16"/>
      </w:rPr>
      <w:t>Highlight Report</w:t>
    </w:r>
    <w:r w:rsidR="00AD4677">
      <w:rPr>
        <w:rFonts w:ascii="Trebuchet MS" w:hAnsi="Trebuchet MS"/>
        <w:b/>
        <w:sz w:val="16"/>
        <w:szCs w:val="16"/>
      </w:rPr>
      <w:t xml:space="preserve">: </w:t>
    </w:r>
    <w:r w:rsidR="005E579A">
      <w:rPr>
        <w:rFonts w:ascii="Trebuchet MS" w:hAnsi="Trebuchet MS"/>
        <w:b/>
        <w:sz w:val="16"/>
        <w:szCs w:val="16"/>
      </w:rPr>
      <w:t xml:space="preserve">Annual </w:t>
    </w:r>
    <w:r w:rsidR="00137172">
      <w:rPr>
        <w:rFonts w:ascii="Trebuchet MS" w:hAnsi="Trebuchet MS"/>
        <w:b/>
        <w:sz w:val="16"/>
        <w:szCs w:val="16"/>
      </w:rPr>
      <w:t>C</w:t>
    </w:r>
    <w:r w:rsidR="005E579A">
      <w:rPr>
        <w:rFonts w:ascii="Trebuchet MS" w:hAnsi="Trebuchet MS"/>
        <w:b/>
        <w:sz w:val="16"/>
        <w:szCs w:val="16"/>
      </w:rPr>
      <w:t xml:space="preserve">arbon Reduction Progress Report </w:t>
    </w:r>
    <w:r w:rsidR="00876DB0" w:rsidRPr="00876DB0">
      <w:rPr>
        <w:rFonts w:ascii="Trebuchet MS" w:hAnsi="Trebuchet MS"/>
        <w:b/>
        <w:sz w:val="16"/>
        <w:szCs w:val="16"/>
      </w:rPr>
      <w:tab/>
    </w:r>
    <w:r w:rsidR="00876DB0" w:rsidRPr="00876DB0">
      <w:rPr>
        <w:rFonts w:ascii="Trebuchet MS" w:hAnsi="Trebuchet MS"/>
        <w:b/>
        <w:sz w:val="16"/>
        <w:szCs w:val="16"/>
      </w:rPr>
      <w:tab/>
      <w:t xml:space="preserve">Version </w:t>
    </w:r>
    <w:r w:rsidR="005E579A">
      <w:rPr>
        <w:rFonts w:ascii="Trebuchet MS" w:hAnsi="Trebuchet MS"/>
        <w:b/>
        <w:sz w:val="16"/>
        <w:szCs w:val="16"/>
      </w:rPr>
      <w:t>2021/22.</w:t>
    </w:r>
    <w:r w:rsidR="00AD4677">
      <w:rPr>
        <w:rFonts w:ascii="Trebuchet MS" w:hAnsi="Trebuchet MS"/>
        <w:b/>
        <w:sz w:val="16"/>
        <w:szCs w:val="16"/>
      </w:rPr>
      <w:t>1</w:t>
    </w:r>
  </w:p>
  <w:p w14:paraId="02F2C34E" w14:textId="77777777" w:rsidR="001030EA" w:rsidRPr="001030EA" w:rsidRDefault="001030EA" w:rsidP="001030EA">
    <w:pPr>
      <w:pStyle w:val="Header"/>
      <w:rPr>
        <w:rFonts w:ascii="Aleo" w:hAnsi="Aleo"/>
        <w:b/>
        <w:color w:val="2D0054"/>
      </w:rPr>
    </w:pPr>
  </w:p>
  <w:p w14:paraId="680A4E5D" w14:textId="77777777" w:rsidR="002400C9" w:rsidRDefault="002400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8B78" w14:textId="77777777" w:rsidR="00E45FAA" w:rsidRDefault="00E45FAA">
    <w:pPr>
      <w:pStyle w:val="Header"/>
    </w:pPr>
    <w:r w:rsidRPr="00E45FAA">
      <w:rPr>
        <w:noProof/>
        <w:lang w:eastAsia="en-GB"/>
      </w:rPr>
      <w:drawing>
        <wp:anchor distT="0" distB="0" distL="114300" distR="114300" simplePos="0" relativeHeight="251663360" behindDoc="0" locked="0" layoutInCell="1" allowOverlap="1" wp14:anchorId="5E7EB331" wp14:editId="3DAD393D">
          <wp:simplePos x="0" y="0"/>
          <wp:positionH relativeFrom="column">
            <wp:posOffset>5753100</wp:posOffset>
          </wp:positionH>
          <wp:positionV relativeFrom="paragraph">
            <wp:posOffset>-287655</wp:posOffset>
          </wp:positionV>
          <wp:extent cx="978535" cy="13843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t V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8535" cy="1384300"/>
                  </a:xfrm>
                  <a:prstGeom prst="rect">
                    <a:avLst/>
                  </a:prstGeom>
                </pic:spPr>
              </pic:pic>
            </a:graphicData>
          </a:graphic>
          <wp14:sizeRelH relativeFrom="page">
            <wp14:pctWidth>0</wp14:pctWidth>
          </wp14:sizeRelH>
          <wp14:sizeRelV relativeFrom="page">
            <wp14:pctHeight>0</wp14:pctHeight>
          </wp14:sizeRelV>
        </wp:anchor>
      </w:drawing>
    </w:r>
    <w:r w:rsidRPr="00E45FAA">
      <w:rPr>
        <w:noProof/>
        <w:lang w:eastAsia="en-GB"/>
      </w:rPr>
      <w:drawing>
        <wp:anchor distT="0" distB="0" distL="114300" distR="114300" simplePos="0" relativeHeight="251662336" behindDoc="1" locked="0" layoutInCell="1" allowOverlap="1" wp14:anchorId="3979BC37" wp14:editId="0E3668C5">
          <wp:simplePos x="0" y="0"/>
          <wp:positionH relativeFrom="column">
            <wp:posOffset>2276475</wp:posOffset>
          </wp:positionH>
          <wp:positionV relativeFrom="paragraph">
            <wp:posOffset>1455420</wp:posOffset>
          </wp:positionV>
          <wp:extent cx="4608195" cy="8796020"/>
          <wp:effectExtent l="0" t="0" r="1905"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mark corporate plan.tif"/>
                  <pic:cNvPicPr/>
                </pic:nvPicPr>
                <pic:blipFill>
                  <a:blip r:embed="rId2">
                    <a:extLst>
                      <a:ext uri="{28A0092B-C50C-407E-A947-70E740481C1C}">
                        <a14:useLocalDpi xmlns:a14="http://schemas.microsoft.com/office/drawing/2010/main" val="0"/>
                      </a:ext>
                    </a:extLst>
                  </a:blip>
                  <a:stretch>
                    <a:fillRect/>
                  </a:stretch>
                </pic:blipFill>
                <pic:spPr>
                  <a:xfrm>
                    <a:off x="0" y="0"/>
                    <a:ext cx="4608195" cy="87960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A98"/>
    <w:multiLevelType w:val="singleLevel"/>
    <w:tmpl w:val="5C48C7A6"/>
    <w:lvl w:ilvl="0">
      <w:start w:val="1"/>
      <w:numFmt w:val="bullet"/>
      <w:pStyle w:val="listbulletround1"/>
      <w:lvlText w:val="l"/>
      <w:lvlJc w:val="left"/>
      <w:pPr>
        <w:tabs>
          <w:tab w:val="num" w:pos="1440"/>
        </w:tabs>
        <w:ind w:left="1440" w:hanging="720"/>
      </w:pPr>
      <w:rPr>
        <w:rFonts w:ascii="Wingdings" w:hAnsi="Wingdings" w:hint="default"/>
      </w:rPr>
    </w:lvl>
  </w:abstractNum>
  <w:abstractNum w:abstractNumId="1" w15:restartNumberingAfterBreak="0">
    <w:nsid w:val="091E73AC"/>
    <w:multiLevelType w:val="hybridMultilevel"/>
    <w:tmpl w:val="ABE02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A45EE"/>
    <w:multiLevelType w:val="hybridMultilevel"/>
    <w:tmpl w:val="F740E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E3E53"/>
    <w:multiLevelType w:val="hybridMultilevel"/>
    <w:tmpl w:val="8382A9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65159C"/>
    <w:multiLevelType w:val="hybridMultilevel"/>
    <w:tmpl w:val="9376A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7F73F1"/>
    <w:multiLevelType w:val="hybridMultilevel"/>
    <w:tmpl w:val="5EFA081E"/>
    <w:lvl w:ilvl="0" w:tplc="D1ECC396">
      <w:start w:val="1"/>
      <w:numFmt w:val="bullet"/>
      <w:lvlText w:val="l"/>
      <w:lvlJc w:val="left"/>
      <w:pPr>
        <w:ind w:left="720" w:hanging="360"/>
      </w:pPr>
      <w:rPr>
        <w:rFonts w:ascii="Wingdings" w:hAnsi="Wingdings" w:hint="default"/>
      </w:rPr>
    </w:lvl>
    <w:lvl w:ilvl="1" w:tplc="01E0479E">
      <w:start w:val="1"/>
      <w:numFmt w:val="bullet"/>
      <w:lvlText w:val="o"/>
      <w:lvlJc w:val="left"/>
      <w:pPr>
        <w:ind w:left="1440" w:hanging="360"/>
      </w:pPr>
      <w:rPr>
        <w:rFonts w:ascii="Courier New" w:hAnsi="Courier New" w:hint="default"/>
      </w:rPr>
    </w:lvl>
    <w:lvl w:ilvl="2" w:tplc="E1CA932A">
      <w:start w:val="1"/>
      <w:numFmt w:val="bullet"/>
      <w:lvlText w:val=""/>
      <w:lvlJc w:val="left"/>
      <w:pPr>
        <w:ind w:left="2160" w:hanging="360"/>
      </w:pPr>
      <w:rPr>
        <w:rFonts w:ascii="Wingdings" w:hAnsi="Wingdings" w:hint="default"/>
      </w:rPr>
    </w:lvl>
    <w:lvl w:ilvl="3" w:tplc="4EAA5252">
      <w:start w:val="1"/>
      <w:numFmt w:val="bullet"/>
      <w:lvlText w:val=""/>
      <w:lvlJc w:val="left"/>
      <w:pPr>
        <w:ind w:left="2880" w:hanging="360"/>
      </w:pPr>
      <w:rPr>
        <w:rFonts w:ascii="Symbol" w:hAnsi="Symbol" w:hint="default"/>
      </w:rPr>
    </w:lvl>
    <w:lvl w:ilvl="4" w:tplc="9562648E">
      <w:start w:val="1"/>
      <w:numFmt w:val="bullet"/>
      <w:lvlText w:val="o"/>
      <w:lvlJc w:val="left"/>
      <w:pPr>
        <w:ind w:left="3600" w:hanging="360"/>
      </w:pPr>
      <w:rPr>
        <w:rFonts w:ascii="Courier New" w:hAnsi="Courier New" w:hint="default"/>
      </w:rPr>
    </w:lvl>
    <w:lvl w:ilvl="5" w:tplc="1B3E989C">
      <w:start w:val="1"/>
      <w:numFmt w:val="bullet"/>
      <w:lvlText w:val=""/>
      <w:lvlJc w:val="left"/>
      <w:pPr>
        <w:ind w:left="4320" w:hanging="360"/>
      </w:pPr>
      <w:rPr>
        <w:rFonts w:ascii="Wingdings" w:hAnsi="Wingdings" w:hint="default"/>
      </w:rPr>
    </w:lvl>
    <w:lvl w:ilvl="6" w:tplc="2CC26160">
      <w:start w:val="1"/>
      <w:numFmt w:val="bullet"/>
      <w:lvlText w:val=""/>
      <w:lvlJc w:val="left"/>
      <w:pPr>
        <w:ind w:left="5040" w:hanging="360"/>
      </w:pPr>
      <w:rPr>
        <w:rFonts w:ascii="Symbol" w:hAnsi="Symbol" w:hint="default"/>
      </w:rPr>
    </w:lvl>
    <w:lvl w:ilvl="7" w:tplc="FBAA5B3C">
      <w:start w:val="1"/>
      <w:numFmt w:val="bullet"/>
      <w:lvlText w:val="o"/>
      <w:lvlJc w:val="left"/>
      <w:pPr>
        <w:ind w:left="5760" w:hanging="360"/>
      </w:pPr>
      <w:rPr>
        <w:rFonts w:ascii="Courier New" w:hAnsi="Courier New" w:hint="default"/>
      </w:rPr>
    </w:lvl>
    <w:lvl w:ilvl="8" w:tplc="71F686D2">
      <w:start w:val="1"/>
      <w:numFmt w:val="bullet"/>
      <w:lvlText w:val=""/>
      <w:lvlJc w:val="left"/>
      <w:pPr>
        <w:ind w:left="6480" w:hanging="360"/>
      </w:pPr>
      <w:rPr>
        <w:rFonts w:ascii="Wingdings" w:hAnsi="Wingdings" w:hint="default"/>
      </w:rPr>
    </w:lvl>
  </w:abstractNum>
  <w:abstractNum w:abstractNumId="6" w15:restartNumberingAfterBreak="0">
    <w:nsid w:val="22FA16BD"/>
    <w:multiLevelType w:val="singleLevel"/>
    <w:tmpl w:val="4470E1F2"/>
    <w:lvl w:ilvl="0">
      <w:start w:val="1"/>
      <w:numFmt w:val="bullet"/>
      <w:pStyle w:val="listbulletdash2"/>
      <w:lvlText w:val="-"/>
      <w:lvlJc w:val="left"/>
      <w:pPr>
        <w:tabs>
          <w:tab w:val="num" w:pos="2160"/>
        </w:tabs>
        <w:ind w:left="2160" w:hanging="720"/>
      </w:pPr>
      <w:rPr>
        <w:rFonts w:ascii="Symbol" w:hAnsi="Symbol"/>
      </w:rPr>
    </w:lvl>
  </w:abstractNum>
  <w:abstractNum w:abstractNumId="7" w15:restartNumberingAfterBreak="0">
    <w:nsid w:val="238B54C1"/>
    <w:multiLevelType w:val="singleLevel"/>
    <w:tmpl w:val="ED8CBF52"/>
    <w:lvl w:ilvl="0">
      <w:start w:val="3"/>
      <w:numFmt w:val="decimal"/>
      <w:lvlText w:val="%1.1"/>
      <w:lvlJc w:val="left"/>
      <w:pPr>
        <w:ind w:left="1854" w:hanging="360"/>
      </w:pPr>
      <w:rPr>
        <w:rFonts w:hint="default"/>
        <w:u w:val="none"/>
      </w:rPr>
    </w:lvl>
  </w:abstractNum>
  <w:abstractNum w:abstractNumId="8" w15:restartNumberingAfterBreak="0">
    <w:nsid w:val="254632F8"/>
    <w:multiLevelType w:val="multilevel"/>
    <w:tmpl w:val="22FEAB94"/>
    <w:lvl w:ilvl="0">
      <w:start w:val="7"/>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5E16A86"/>
    <w:multiLevelType w:val="hybridMultilevel"/>
    <w:tmpl w:val="E9761A1A"/>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Wingdings"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Wingdings"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Wingdings" w:hint="default"/>
      </w:rPr>
    </w:lvl>
    <w:lvl w:ilvl="8" w:tplc="08090005" w:tentative="1">
      <w:start w:val="1"/>
      <w:numFmt w:val="bullet"/>
      <w:lvlText w:val=""/>
      <w:lvlJc w:val="left"/>
      <w:pPr>
        <w:ind w:left="6500" w:hanging="360"/>
      </w:pPr>
      <w:rPr>
        <w:rFonts w:ascii="Wingdings" w:hAnsi="Wingdings" w:hint="default"/>
      </w:rPr>
    </w:lvl>
  </w:abstractNum>
  <w:abstractNum w:abstractNumId="10" w15:restartNumberingAfterBreak="0">
    <w:nsid w:val="26E0062B"/>
    <w:multiLevelType w:val="multilevel"/>
    <w:tmpl w:val="8B7A4F3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BF7517C"/>
    <w:multiLevelType w:val="hybridMultilevel"/>
    <w:tmpl w:val="7868A0B6"/>
    <w:lvl w:ilvl="0" w:tplc="FD8C6C56">
      <w:start w:val="1"/>
      <w:numFmt w:val="bullet"/>
      <w:lvlText w:val="l"/>
      <w:lvlJc w:val="left"/>
      <w:pPr>
        <w:ind w:left="720" w:hanging="360"/>
      </w:pPr>
      <w:rPr>
        <w:rFonts w:ascii="Wingdings" w:hAnsi="Wingdings" w:hint="default"/>
      </w:rPr>
    </w:lvl>
    <w:lvl w:ilvl="1" w:tplc="B0403DBC">
      <w:start w:val="1"/>
      <w:numFmt w:val="bullet"/>
      <w:lvlText w:val="o"/>
      <w:lvlJc w:val="left"/>
      <w:pPr>
        <w:ind w:left="1440" w:hanging="360"/>
      </w:pPr>
      <w:rPr>
        <w:rFonts w:ascii="Courier New" w:hAnsi="Courier New" w:hint="default"/>
      </w:rPr>
    </w:lvl>
    <w:lvl w:ilvl="2" w:tplc="B5121E32">
      <w:start w:val="1"/>
      <w:numFmt w:val="bullet"/>
      <w:lvlText w:val=""/>
      <w:lvlJc w:val="left"/>
      <w:pPr>
        <w:ind w:left="2160" w:hanging="360"/>
      </w:pPr>
      <w:rPr>
        <w:rFonts w:ascii="Wingdings" w:hAnsi="Wingdings" w:hint="default"/>
      </w:rPr>
    </w:lvl>
    <w:lvl w:ilvl="3" w:tplc="D63E8C72">
      <w:start w:val="1"/>
      <w:numFmt w:val="bullet"/>
      <w:lvlText w:val=""/>
      <w:lvlJc w:val="left"/>
      <w:pPr>
        <w:ind w:left="2880" w:hanging="360"/>
      </w:pPr>
      <w:rPr>
        <w:rFonts w:ascii="Symbol" w:hAnsi="Symbol" w:hint="default"/>
      </w:rPr>
    </w:lvl>
    <w:lvl w:ilvl="4" w:tplc="929E48C6">
      <w:start w:val="1"/>
      <w:numFmt w:val="bullet"/>
      <w:lvlText w:val="o"/>
      <w:lvlJc w:val="left"/>
      <w:pPr>
        <w:ind w:left="3600" w:hanging="360"/>
      </w:pPr>
      <w:rPr>
        <w:rFonts w:ascii="Courier New" w:hAnsi="Courier New" w:hint="default"/>
      </w:rPr>
    </w:lvl>
    <w:lvl w:ilvl="5" w:tplc="27F06C5E">
      <w:start w:val="1"/>
      <w:numFmt w:val="bullet"/>
      <w:lvlText w:val=""/>
      <w:lvlJc w:val="left"/>
      <w:pPr>
        <w:ind w:left="4320" w:hanging="360"/>
      </w:pPr>
      <w:rPr>
        <w:rFonts w:ascii="Wingdings" w:hAnsi="Wingdings" w:hint="default"/>
      </w:rPr>
    </w:lvl>
    <w:lvl w:ilvl="6" w:tplc="EC0E7940">
      <w:start w:val="1"/>
      <w:numFmt w:val="bullet"/>
      <w:lvlText w:val=""/>
      <w:lvlJc w:val="left"/>
      <w:pPr>
        <w:ind w:left="5040" w:hanging="360"/>
      </w:pPr>
      <w:rPr>
        <w:rFonts w:ascii="Symbol" w:hAnsi="Symbol" w:hint="default"/>
      </w:rPr>
    </w:lvl>
    <w:lvl w:ilvl="7" w:tplc="EC4A79FA">
      <w:start w:val="1"/>
      <w:numFmt w:val="bullet"/>
      <w:lvlText w:val="o"/>
      <w:lvlJc w:val="left"/>
      <w:pPr>
        <w:ind w:left="5760" w:hanging="360"/>
      </w:pPr>
      <w:rPr>
        <w:rFonts w:ascii="Courier New" w:hAnsi="Courier New" w:hint="default"/>
      </w:rPr>
    </w:lvl>
    <w:lvl w:ilvl="8" w:tplc="0F7C4DC2">
      <w:start w:val="1"/>
      <w:numFmt w:val="bullet"/>
      <w:lvlText w:val=""/>
      <w:lvlJc w:val="left"/>
      <w:pPr>
        <w:ind w:left="6480" w:hanging="360"/>
      </w:pPr>
      <w:rPr>
        <w:rFonts w:ascii="Wingdings" w:hAnsi="Wingdings" w:hint="default"/>
      </w:rPr>
    </w:lvl>
  </w:abstractNum>
  <w:abstractNum w:abstractNumId="12" w15:restartNumberingAfterBreak="0">
    <w:nsid w:val="2CA611A4"/>
    <w:multiLevelType w:val="multilevel"/>
    <w:tmpl w:val="05ACF40A"/>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C11DEF"/>
    <w:multiLevelType w:val="hybridMultilevel"/>
    <w:tmpl w:val="AD9CBCF6"/>
    <w:lvl w:ilvl="0" w:tplc="AB14BCE2">
      <w:start w:val="10"/>
      <w:numFmt w:val="decimal"/>
      <w:lvlText w:val="%1"/>
      <w:lvlJc w:val="left"/>
      <w:pPr>
        <w:tabs>
          <w:tab w:val="num" w:pos="1146"/>
        </w:tabs>
        <w:ind w:left="1146"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4C3E10"/>
    <w:multiLevelType w:val="hybridMultilevel"/>
    <w:tmpl w:val="35427900"/>
    <w:lvl w:ilvl="0" w:tplc="C8C492F4">
      <w:start w:val="3"/>
      <w:numFmt w:val="decimal"/>
      <w:lvlText w:val="%1.2"/>
      <w:lvlJc w:val="left"/>
      <w:pPr>
        <w:ind w:left="1854"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805287"/>
    <w:multiLevelType w:val="hybridMultilevel"/>
    <w:tmpl w:val="A484F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CE7B7C"/>
    <w:multiLevelType w:val="hybridMultilevel"/>
    <w:tmpl w:val="6D8CF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AF1D70"/>
    <w:multiLevelType w:val="hybridMultilevel"/>
    <w:tmpl w:val="197AA220"/>
    <w:lvl w:ilvl="0" w:tplc="52F84AB2">
      <w:start w:val="4"/>
      <w:numFmt w:val="decimal"/>
      <w:lvlText w:val="%1.3"/>
      <w:lvlJc w:val="left"/>
      <w:pPr>
        <w:ind w:left="1778"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CF7E04"/>
    <w:multiLevelType w:val="multilevel"/>
    <w:tmpl w:val="05ACF40A"/>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AE4BB6"/>
    <w:multiLevelType w:val="hybridMultilevel"/>
    <w:tmpl w:val="10AE362A"/>
    <w:lvl w:ilvl="0" w:tplc="BBC61168">
      <w:start w:val="9"/>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8EA2B16"/>
    <w:multiLevelType w:val="hybridMultilevel"/>
    <w:tmpl w:val="65B8B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A951A4"/>
    <w:multiLevelType w:val="hybridMultilevel"/>
    <w:tmpl w:val="B4386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4924D0"/>
    <w:multiLevelType w:val="hybridMultilevel"/>
    <w:tmpl w:val="09044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B00743"/>
    <w:multiLevelType w:val="hybridMultilevel"/>
    <w:tmpl w:val="752CA8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9C6CB8"/>
    <w:multiLevelType w:val="hybridMultilevel"/>
    <w:tmpl w:val="38046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955050"/>
    <w:multiLevelType w:val="hybridMultilevel"/>
    <w:tmpl w:val="A420D50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6" w15:restartNumberingAfterBreak="0">
    <w:nsid w:val="47B8200F"/>
    <w:multiLevelType w:val="hybridMultilevel"/>
    <w:tmpl w:val="0BAA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0135F3"/>
    <w:multiLevelType w:val="hybridMultilevel"/>
    <w:tmpl w:val="E5522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985C5F"/>
    <w:multiLevelType w:val="hybridMultilevel"/>
    <w:tmpl w:val="CC6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D15DA1"/>
    <w:multiLevelType w:val="hybridMultilevel"/>
    <w:tmpl w:val="709A4B64"/>
    <w:lvl w:ilvl="0" w:tplc="46489ADE">
      <w:start w:val="1"/>
      <w:numFmt w:val="bullet"/>
      <w:lvlText w:val=""/>
      <w:lvlJc w:val="left"/>
      <w:pPr>
        <w:tabs>
          <w:tab w:val="num" w:pos="643"/>
        </w:tabs>
        <w:ind w:left="643"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F90E36"/>
    <w:multiLevelType w:val="hybridMultilevel"/>
    <w:tmpl w:val="9B34C8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606732"/>
    <w:multiLevelType w:val="hybridMultilevel"/>
    <w:tmpl w:val="8034E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F100E7"/>
    <w:multiLevelType w:val="hybridMultilevel"/>
    <w:tmpl w:val="912A6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693B87"/>
    <w:multiLevelType w:val="multilevel"/>
    <w:tmpl w:val="E4B6C4F8"/>
    <w:lvl w:ilvl="0">
      <w:start w:val="1"/>
      <w:numFmt w:val="decimal"/>
      <w:lvlText w:val="%1.0"/>
      <w:lvlJc w:val="left"/>
      <w:pPr>
        <w:ind w:left="510" w:hanging="510"/>
      </w:pPr>
      <w:rPr>
        <w:rFonts w:hint="default"/>
      </w:rPr>
    </w:lvl>
    <w:lvl w:ilvl="1">
      <w:start w:val="1"/>
      <w:numFmt w:val="decimal"/>
      <w:lvlText w:val="%1.%2"/>
      <w:lvlJc w:val="left"/>
      <w:pPr>
        <w:ind w:left="1230" w:hanging="5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694724A3"/>
    <w:multiLevelType w:val="hybridMultilevel"/>
    <w:tmpl w:val="5C9C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115EC2"/>
    <w:multiLevelType w:val="hybridMultilevel"/>
    <w:tmpl w:val="1EA4C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266A43"/>
    <w:multiLevelType w:val="hybridMultilevel"/>
    <w:tmpl w:val="9ABA7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423672"/>
    <w:multiLevelType w:val="hybridMultilevel"/>
    <w:tmpl w:val="DE366B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392660F"/>
    <w:multiLevelType w:val="hybridMultilevel"/>
    <w:tmpl w:val="32F08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CC3463"/>
    <w:multiLevelType w:val="hybridMultilevel"/>
    <w:tmpl w:val="02E8B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AD75B8"/>
    <w:multiLevelType w:val="hybridMultilevel"/>
    <w:tmpl w:val="DDEC3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9394573">
    <w:abstractNumId w:val="5"/>
  </w:num>
  <w:num w:numId="2" w16cid:durableId="1357536573">
    <w:abstractNumId w:val="11"/>
  </w:num>
  <w:num w:numId="3" w16cid:durableId="770247010">
    <w:abstractNumId w:val="29"/>
  </w:num>
  <w:num w:numId="4" w16cid:durableId="1021738810">
    <w:abstractNumId w:val="0"/>
  </w:num>
  <w:num w:numId="5" w16cid:durableId="928611912">
    <w:abstractNumId w:val="6"/>
  </w:num>
  <w:num w:numId="6" w16cid:durableId="867253093">
    <w:abstractNumId w:val="19"/>
  </w:num>
  <w:num w:numId="7" w16cid:durableId="537595600">
    <w:abstractNumId w:val="40"/>
  </w:num>
  <w:num w:numId="8" w16cid:durableId="114907334">
    <w:abstractNumId w:val="33"/>
  </w:num>
  <w:num w:numId="9" w16cid:durableId="350226938">
    <w:abstractNumId w:val="25"/>
  </w:num>
  <w:num w:numId="10" w16cid:durableId="753824215">
    <w:abstractNumId w:val="7"/>
  </w:num>
  <w:num w:numId="11" w16cid:durableId="627395320">
    <w:abstractNumId w:val="14"/>
  </w:num>
  <w:num w:numId="12" w16cid:durableId="1416784232">
    <w:abstractNumId w:val="15"/>
  </w:num>
  <w:num w:numId="13" w16cid:durableId="1223835114">
    <w:abstractNumId w:val="21"/>
  </w:num>
  <w:num w:numId="14" w16cid:durableId="161899264">
    <w:abstractNumId w:val="17"/>
  </w:num>
  <w:num w:numId="15" w16cid:durableId="391542647">
    <w:abstractNumId w:val="30"/>
  </w:num>
  <w:num w:numId="16" w16cid:durableId="1677147142">
    <w:abstractNumId w:val="12"/>
  </w:num>
  <w:num w:numId="17" w16cid:durableId="2083479773">
    <w:abstractNumId w:val="18"/>
  </w:num>
  <w:num w:numId="18" w16cid:durableId="1883207269">
    <w:abstractNumId w:val="8"/>
  </w:num>
  <w:num w:numId="19" w16cid:durableId="230896000">
    <w:abstractNumId w:val="13"/>
  </w:num>
  <w:num w:numId="20" w16cid:durableId="81607109">
    <w:abstractNumId w:val="9"/>
  </w:num>
  <w:num w:numId="21" w16cid:durableId="370306168">
    <w:abstractNumId w:val="22"/>
  </w:num>
  <w:num w:numId="22" w16cid:durableId="1264528903">
    <w:abstractNumId w:val="10"/>
  </w:num>
  <w:num w:numId="23" w16cid:durableId="443615191">
    <w:abstractNumId w:val="36"/>
  </w:num>
  <w:num w:numId="24" w16cid:durableId="1988125293">
    <w:abstractNumId w:val="20"/>
  </w:num>
  <w:num w:numId="25" w16cid:durableId="380979044">
    <w:abstractNumId w:val="2"/>
  </w:num>
  <w:num w:numId="26" w16cid:durableId="1242061746">
    <w:abstractNumId w:val="39"/>
  </w:num>
  <w:num w:numId="27" w16cid:durableId="447430279">
    <w:abstractNumId w:val="4"/>
  </w:num>
  <w:num w:numId="28" w16cid:durableId="1176380287">
    <w:abstractNumId w:val="37"/>
  </w:num>
  <w:num w:numId="29" w16cid:durableId="1309087428">
    <w:abstractNumId w:val="1"/>
  </w:num>
  <w:num w:numId="30" w16cid:durableId="1901864900">
    <w:abstractNumId w:val="27"/>
  </w:num>
  <w:num w:numId="31" w16cid:durableId="908543819">
    <w:abstractNumId w:val="26"/>
  </w:num>
  <w:num w:numId="32" w16cid:durableId="1672492376">
    <w:abstractNumId w:val="23"/>
  </w:num>
  <w:num w:numId="33" w16cid:durableId="1691491992">
    <w:abstractNumId w:val="35"/>
  </w:num>
  <w:num w:numId="34" w16cid:durableId="1892690179">
    <w:abstractNumId w:val="3"/>
  </w:num>
  <w:num w:numId="35" w16cid:durableId="208029004">
    <w:abstractNumId w:val="24"/>
  </w:num>
  <w:num w:numId="36" w16cid:durableId="2107916881">
    <w:abstractNumId w:val="28"/>
  </w:num>
  <w:num w:numId="37" w16cid:durableId="577911427">
    <w:abstractNumId w:val="32"/>
  </w:num>
  <w:num w:numId="38" w16cid:durableId="1382826620">
    <w:abstractNumId w:val="31"/>
  </w:num>
  <w:num w:numId="39" w16cid:durableId="1759323028">
    <w:abstractNumId w:val="16"/>
  </w:num>
  <w:num w:numId="40" w16cid:durableId="975063804">
    <w:abstractNumId w:val="38"/>
  </w:num>
  <w:num w:numId="41" w16cid:durableId="152097310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0EA"/>
    <w:rsid w:val="00012B00"/>
    <w:rsid w:val="000156F7"/>
    <w:rsid w:val="00021507"/>
    <w:rsid w:val="00025703"/>
    <w:rsid w:val="000352D8"/>
    <w:rsid w:val="00040F08"/>
    <w:rsid w:val="00045F7B"/>
    <w:rsid w:val="00045FA1"/>
    <w:rsid w:val="000508CE"/>
    <w:rsid w:val="0005129C"/>
    <w:rsid w:val="00053D52"/>
    <w:rsid w:val="0005505E"/>
    <w:rsid w:val="00065C9A"/>
    <w:rsid w:val="00065F9E"/>
    <w:rsid w:val="000775E4"/>
    <w:rsid w:val="000815D2"/>
    <w:rsid w:val="00084AA7"/>
    <w:rsid w:val="00090CE5"/>
    <w:rsid w:val="00091781"/>
    <w:rsid w:val="000920C1"/>
    <w:rsid w:val="00094CE6"/>
    <w:rsid w:val="000974A5"/>
    <w:rsid w:val="000A0D0E"/>
    <w:rsid w:val="000B2AE7"/>
    <w:rsid w:val="000C06B1"/>
    <w:rsid w:val="000C6499"/>
    <w:rsid w:val="000C7E66"/>
    <w:rsid w:val="000D2173"/>
    <w:rsid w:val="000F1F74"/>
    <w:rsid w:val="000F38FD"/>
    <w:rsid w:val="000F3E4A"/>
    <w:rsid w:val="00102A19"/>
    <w:rsid w:val="001030EA"/>
    <w:rsid w:val="00107E88"/>
    <w:rsid w:val="0012039B"/>
    <w:rsid w:val="00124268"/>
    <w:rsid w:val="001344D6"/>
    <w:rsid w:val="00135C53"/>
    <w:rsid w:val="00137172"/>
    <w:rsid w:val="001412D8"/>
    <w:rsid w:val="00142748"/>
    <w:rsid w:val="0014760B"/>
    <w:rsid w:val="0017211F"/>
    <w:rsid w:val="00172E31"/>
    <w:rsid w:val="00173A35"/>
    <w:rsid w:val="00174E5C"/>
    <w:rsid w:val="00186A54"/>
    <w:rsid w:val="0018761C"/>
    <w:rsid w:val="00187764"/>
    <w:rsid w:val="00192984"/>
    <w:rsid w:val="001977A1"/>
    <w:rsid w:val="001A24A1"/>
    <w:rsid w:val="001A7F47"/>
    <w:rsid w:val="001B1AB3"/>
    <w:rsid w:val="001E096D"/>
    <w:rsid w:val="001E2C43"/>
    <w:rsid w:val="001E67A9"/>
    <w:rsid w:val="001F61CD"/>
    <w:rsid w:val="002119BE"/>
    <w:rsid w:val="00217B48"/>
    <w:rsid w:val="002202FB"/>
    <w:rsid w:val="00222B8E"/>
    <w:rsid w:val="00225422"/>
    <w:rsid w:val="00225A16"/>
    <w:rsid w:val="00236F00"/>
    <w:rsid w:val="002400C9"/>
    <w:rsid w:val="0028163F"/>
    <w:rsid w:val="00284B14"/>
    <w:rsid w:val="00285A58"/>
    <w:rsid w:val="00293805"/>
    <w:rsid w:val="00293B8E"/>
    <w:rsid w:val="002967D8"/>
    <w:rsid w:val="0029756B"/>
    <w:rsid w:val="00297A40"/>
    <w:rsid w:val="002A621F"/>
    <w:rsid w:val="002A6821"/>
    <w:rsid w:val="002B124B"/>
    <w:rsid w:val="002C2A32"/>
    <w:rsid w:val="002C2AF1"/>
    <w:rsid w:val="002C2C04"/>
    <w:rsid w:val="002D5F0D"/>
    <w:rsid w:val="002F03B5"/>
    <w:rsid w:val="00315910"/>
    <w:rsid w:val="00322F81"/>
    <w:rsid w:val="003230A7"/>
    <w:rsid w:val="00323BBF"/>
    <w:rsid w:val="00326794"/>
    <w:rsid w:val="00332F10"/>
    <w:rsid w:val="00353E9B"/>
    <w:rsid w:val="0035444B"/>
    <w:rsid w:val="00360602"/>
    <w:rsid w:val="00374751"/>
    <w:rsid w:val="00392F64"/>
    <w:rsid w:val="003C1FDB"/>
    <w:rsid w:val="003C42D0"/>
    <w:rsid w:val="003D0B7B"/>
    <w:rsid w:val="003D0ECC"/>
    <w:rsid w:val="003D4D91"/>
    <w:rsid w:val="003E6FF3"/>
    <w:rsid w:val="003F55C8"/>
    <w:rsid w:val="00402940"/>
    <w:rsid w:val="00425C0E"/>
    <w:rsid w:val="004332A8"/>
    <w:rsid w:val="00435113"/>
    <w:rsid w:val="00444CE6"/>
    <w:rsid w:val="00445106"/>
    <w:rsid w:val="00465842"/>
    <w:rsid w:val="00467DE9"/>
    <w:rsid w:val="00490343"/>
    <w:rsid w:val="004A20B0"/>
    <w:rsid w:val="004C32A9"/>
    <w:rsid w:val="00517C35"/>
    <w:rsid w:val="00521C00"/>
    <w:rsid w:val="005247AF"/>
    <w:rsid w:val="00531731"/>
    <w:rsid w:val="00533339"/>
    <w:rsid w:val="00535374"/>
    <w:rsid w:val="00537870"/>
    <w:rsid w:val="005410EB"/>
    <w:rsid w:val="0055515F"/>
    <w:rsid w:val="00574BBE"/>
    <w:rsid w:val="00581443"/>
    <w:rsid w:val="00583BC0"/>
    <w:rsid w:val="00586930"/>
    <w:rsid w:val="00587979"/>
    <w:rsid w:val="00590010"/>
    <w:rsid w:val="00593D9F"/>
    <w:rsid w:val="005A0730"/>
    <w:rsid w:val="005A1EF8"/>
    <w:rsid w:val="005A3CF8"/>
    <w:rsid w:val="005B17A4"/>
    <w:rsid w:val="005B4F09"/>
    <w:rsid w:val="005C098D"/>
    <w:rsid w:val="005C2124"/>
    <w:rsid w:val="005C2A5D"/>
    <w:rsid w:val="005C2D72"/>
    <w:rsid w:val="005C5052"/>
    <w:rsid w:val="005D2428"/>
    <w:rsid w:val="005D75A1"/>
    <w:rsid w:val="005E4702"/>
    <w:rsid w:val="005E579A"/>
    <w:rsid w:val="005E7C44"/>
    <w:rsid w:val="005F1541"/>
    <w:rsid w:val="00601CC2"/>
    <w:rsid w:val="00611315"/>
    <w:rsid w:val="006261DC"/>
    <w:rsid w:val="00632C04"/>
    <w:rsid w:val="006467B5"/>
    <w:rsid w:val="006562AE"/>
    <w:rsid w:val="00661AA3"/>
    <w:rsid w:val="0066582B"/>
    <w:rsid w:val="00673917"/>
    <w:rsid w:val="006761D6"/>
    <w:rsid w:val="00676C7A"/>
    <w:rsid w:val="006813F6"/>
    <w:rsid w:val="006827D0"/>
    <w:rsid w:val="006A38BB"/>
    <w:rsid w:val="006B6F39"/>
    <w:rsid w:val="006D26B9"/>
    <w:rsid w:val="006E17E3"/>
    <w:rsid w:val="006F5F31"/>
    <w:rsid w:val="006F6AB7"/>
    <w:rsid w:val="00702522"/>
    <w:rsid w:val="00715054"/>
    <w:rsid w:val="00730999"/>
    <w:rsid w:val="007345BD"/>
    <w:rsid w:val="007453FD"/>
    <w:rsid w:val="0074705A"/>
    <w:rsid w:val="007506A6"/>
    <w:rsid w:val="007536F0"/>
    <w:rsid w:val="00753CF0"/>
    <w:rsid w:val="007667F2"/>
    <w:rsid w:val="00781838"/>
    <w:rsid w:val="007865DD"/>
    <w:rsid w:val="0078702A"/>
    <w:rsid w:val="00794BE3"/>
    <w:rsid w:val="007A213B"/>
    <w:rsid w:val="007A23F9"/>
    <w:rsid w:val="007A42A9"/>
    <w:rsid w:val="007B769B"/>
    <w:rsid w:val="007C7AFF"/>
    <w:rsid w:val="007D7E3D"/>
    <w:rsid w:val="007E7532"/>
    <w:rsid w:val="007F379A"/>
    <w:rsid w:val="0080357C"/>
    <w:rsid w:val="00805454"/>
    <w:rsid w:val="00812F91"/>
    <w:rsid w:val="00822A5D"/>
    <w:rsid w:val="008256FF"/>
    <w:rsid w:val="00831ADE"/>
    <w:rsid w:val="008438B5"/>
    <w:rsid w:val="00852484"/>
    <w:rsid w:val="00852932"/>
    <w:rsid w:val="0086357E"/>
    <w:rsid w:val="008665AE"/>
    <w:rsid w:val="00870E89"/>
    <w:rsid w:val="00876DB0"/>
    <w:rsid w:val="00877061"/>
    <w:rsid w:val="00885A46"/>
    <w:rsid w:val="0088759F"/>
    <w:rsid w:val="00891EF2"/>
    <w:rsid w:val="00895442"/>
    <w:rsid w:val="008965CF"/>
    <w:rsid w:val="008A637D"/>
    <w:rsid w:val="008A6AFF"/>
    <w:rsid w:val="008B71F2"/>
    <w:rsid w:val="008C7483"/>
    <w:rsid w:val="008F4CCA"/>
    <w:rsid w:val="00901B57"/>
    <w:rsid w:val="00916332"/>
    <w:rsid w:val="00950306"/>
    <w:rsid w:val="00955040"/>
    <w:rsid w:val="0096127F"/>
    <w:rsid w:val="009661BE"/>
    <w:rsid w:val="00973B7A"/>
    <w:rsid w:val="0098061C"/>
    <w:rsid w:val="00987404"/>
    <w:rsid w:val="009A1C37"/>
    <w:rsid w:val="009A1DEC"/>
    <w:rsid w:val="009C656E"/>
    <w:rsid w:val="009D09F0"/>
    <w:rsid w:val="009D3838"/>
    <w:rsid w:val="009D7A96"/>
    <w:rsid w:val="009E618D"/>
    <w:rsid w:val="009E7179"/>
    <w:rsid w:val="009F1E4F"/>
    <w:rsid w:val="00A056BB"/>
    <w:rsid w:val="00A07B0E"/>
    <w:rsid w:val="00A1130B"/>
    <w:rsid w:val="00A118FA"/>
    <w:rsid w:val="00A17154"/>
    <w:rsid w:val="00A216D7"/>
    <w:rsid w:val="00A4178E"/>
    <w:rsid w:val="00A45AE2"/>
    <w:rsid w:val="00A478D9"/>
    <w:rsid w:val="00A5640D"/>
    <w:rsid w:val="00A579A6"/>
    <w:rsid w:val="00A66A28"/>
    <w:rsid w:val="00A67B00"/>
    <w:rsid w:val="00A731DB"/>
    <w:rsid w:val="00A87939"/>
    <w:rsid w:val="00A907C0"/>
    <w:rsid w:val="00A96BBC"/>
    <w:rsid w:val="00AA47C4"/>
    <w:rsid w:val="00AA6A51"/>
    <w:rsid w:val="00AC457D"/>
    <w:rsid w:val="00AD0636"/>
    <w:rsid w:val="00AD3E13"/>
    <w:rsid w:val="00AD4677"/>
    <w:rsid w:val="00AE6F2B"/>
    <w:rsid w:val="00AF370A"/>
    <w:rsid w:val="00B23212"/>
    <w:rsid w:val="00B2624A"/>
    <w:rsid w:val="00B426F3"/>
    <w:rsid w:val="00B532A8"/>
    <w:rsid w:val="00B54B54"/>
    <w:rsid w:val="00B67A23"/>
    <w:rsid w:val="00B76482"/>
    <w:rsid w:val="00B86102"/>
    <w:rsid w:val="00B94A96"/>
    <w:rsid w:val="00BA0538"/>
    <w:rsid w:val="00BA36ED"/>
    <w:rsid w:val="00BB02A1"/>
    <w:rsid w:val="00BB2213"/>
    <w:rsid w:val="00BB4E03"/>
    <w:rsid w:val="00BD3852"/>
    <w:rsid w:val="00BE002F"/>
    <w:rsid w:val="00BE27A0"/>
    <w:rsid w:val="00BE30DE"/>
    <w:rsid w:val="00BF0AC9"/>
    <w:rsid w:val="00C00297"/>
    <w:rsid w:val="00C32C9D"/>
    <w:rsid w:val="00C37E64"/>
    <w:rsid w:val="00C41775"/>
    <w:rsid w:val="00C451F1"/>
    <w:rsid w:val="00C56F9E"/>
    <w:rsid w:val="00C8052A"/>
    <w:rsid w:val="00C83DA3"/>
    <w:rsid w:val="00C84A7E"/>
    <w:rsid w:val="00C86120"/>
    <w:rsid w:val="00CA71C9"/>
    <w:rsid w:val="00CB60E0"/>
    <w:rsid w:val="00CB632A"/>
    <w:rsid w:val="00CD63E7"/>
    <w:rsid w:val="00CF04C5"/>
    <w:rsid w:val="00CF6004"/>
    <w:rsid w:val="00D00138"/>
    <w:rsid w:val="00D119F4"/>
    <w:rsid w:val="00D123E9"/>
    <w:rsid w:val="00D2247F"/>
    <w:rsid w:val="00D24989"/>
    <w:rsid w:val="00D355C7"/>
    <w:rsid w:val="00D44187"/>
    <w:rsid w:val="00D53DB2"/>
    <w:rsid w:val="00D604A2"/>
    <w:rsid w:val="00D630AA"/>
    <w:rsid w:val="00D630D2"/>
    <w:rsid w:val="00D810DF"/>
    <w:rsid w:val="00D8648E"/>
    <w:rsid w:val="00D87145"/>
    <w:rsid w:val="00D90CF7"/>
    <w:rsid w:val="00DA7AD7"/>
    <w:rsid w:val="00DB0B4B"/>
    <w:rsid w:val="00DB2436"/>
    <w:rsid w:val="00DB36AD"/>
    <w:rsid w:val="00DB5886"/>
    <w:rsid w:val="00DB6184"/>
    <w:rsid w:val="00DC1426"/>
    <w:rsid w:val="00DC53B3"/>
    <w:rsid w:val="00DE0782"/>
    <w:rsid w:val="00DE5321"/>
    <w:rsid w:val="00DE60A9"/>
    <w:rsid w:val="00DF6D99"/>
    <w:rsid w:val="00E0278F"/>
    <w:rsid w:val="00E02A7F"/>
    <w:rsid w:val="00E034B3"/>
    <w:rsid w:val="00E039F5"/>
    <w:rsid w:val="00E17AC3"/>
    <w:rsid w:val="00E347F0"/>
    <w:rsid w:val="00E41F03"/>
    <w:rsid w:val="00E45D55"/>
    <w:rsid w:val="00E45DED"/>
    <w:rsid w:val="00E45FAA"/>
    <w:rsid w:val="00E519EF"/>
    <w:rsid w:val="00E6127F"/>
    <w:rsid w:val="00E66793"/>
    <w:rsid w:val="00E9435D"/>
    <w:rsid w:val="00E96CE5"/>
    <w:rsid w:val="00EA1A2D"/>
    <w:rsid w:val="00ED0B8A"/>
    <w:rsid w:val="00EE17A5"/>
    <w:rsid w:val="00EE4B9B"/>
    <w:rsid w:val="00EE4C1F"/>
    <w:rsid w:val="00EF1D86"/>
    <w:rsid w:val="00EF2982"/>
    <w:rsid w:val="00EF725F"/>
    <w:rsid w:val="00F06EC5"/>
    <w:rsid w:val="00F210CF"/>
    <w:rsid w:val="00F23909"/>
    <w:rsid w:val="00F35483"/>
    <w:rsid w:val="00F418CF"/>
    <w:rsid w:val="00F42AC3"/>
    <w:rsid w:val="00F60FE4"/>
    <w:rsid w:val="00F712C8"/>
    <w:rsid w:val="00F85DD5"/>
    <w:rsid w:val="00F91017"/>
    <w:rsid w:val="00FB0B65"/>
    <w:rsid w:val="00FB2542"/>
    <w:rsid w:val="00FB44AD"/>
    <w:rsid w:val="00FC12BA"/>
    <w:rsid w:val="00FC6DB5"/>
    <w:rsid w:val="00FD272A"/>
    <w:rsid w:val="00FD7F45"/>
    <w:rsid w:val="00FE400A"/>
    <w:rsid w:val="00FE5946"/>
    <w:rsid w:val="00FE71AA"/>
    <w:rsid w:val="00FF51B2"/>
    <w:rsid w:val="00FF797D"/>
    <w:rsid w:val="1825BD3F"/>
    <w:rsid w:val="1F296673"/>
    <w:rsid w:val="1FAD9895"/>
    <w:rsid w:val="2A5E6036"/>
    <w:rsid w:val="2E1A9201"/>
    <w:rsid w:val="31F05A6D"/>
    <w:rsid w:val="3BDB04B2"/>
    <w:rsid w:val="40228FB9"/>
    <w:rsid w:val="487DAD41"/>
    <w:rsid w:val="537841CB"/>
    <w:rsid w:val="61D96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D21AB"/>
  <w15:docId w15:val="{914463EB-66E0-40D9-873E-1D3DD10E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6DB0"/>
    <w:pPr>
      <w:keepNext/>
      <w:keepLines/>
      <w:spacing w:before="480" w:after="0"/>
      <w:outlineLvl w:val="0"/>
    </w:pPr>
    <w:rPr>
      <w:rFonts w:asciiTheme="majorHAnsi" w:eastAsiaTheme="majorEastAsia" w:hAnsiTheme="majorHAnsi" w:cstheme="majorBidi"/>
      <w:b/>
      <w:bCs/>
      <w:color w:val="21003E" w:themeColor="accent1" w:themeShade="BF"/>
      <w:sz w:val="28"/>
      <w:szCs w:val="28"/>
    </w:rPr>
  </w:style>
  <w:style w:type="paragraph" w:styleId="Heading2">
    <w:name w:val="heading 2"/>
    <w:basedOn w:val="Normal"/>
    <w:next w:val="Normal"/>
    <w:link w:val="Heading2Char"/>
    <w:uiPriority w:val="9"/>
    <w:unhideWhenUsed/>
    <w:qFormat/>
    <w:rsid w:val="00AC457D"/>
    <w:pPr>
      <w:keepNext/>
      <w:keepLines/>
      <w:spacing w:before="200" w:after="0"/>
      <w:outlineLvl w:val="1"/>
    </w:pPr>
    <w:rPr>
      <w:rFonts w:asciiTheme="majorHAnsi" w:eastAsiaTheme="majorEastAsia" w:hAnsiTheme="majorHAnsi" w:cstheme="majorBidi"/>
      <w:b/>
      <w:bCs/>
      <w:color w:val="2D0054" w:themeColor="accent1"/>
      <w:sz w:val="26"/>
      <w:szCs w:val="26"/>
    </w:rPr>
  </w:style>
  <w:style w:type="paragraph" w:styleId="Heading3">
    <w:name w:val="heading 3"/>
    <w:basedOn w:val="Normal"/>
    <w:next w:val="Normal"/>
    <w:link w:val="Heading3Char"/>
    <w:uiPriority w:val="9"/>
    <w:unhideWhenUsed/>
    <w:qFormat/>
    <w:rsid w:val="0017211F"/>
    <w:pPr>
      <w:keepNext/>
      <w:keepLines/>
      <w:spacing w:before="40" w:after="0"/>
      <w:outlineLvl w:val="2"/>
    </w:pPr>
    <w:rPr>
      <w:rFonts w:asciiTheme="majorHAnsi" w:eastAsiaTheme="majorEastAsia" w:hAnsiTheme="majorHAnsi" w:cstheme="majorBidi"/>
      <w:color w:val="160029" w:themeColor="accent1" w:themeShade="7F"/>
      <w:sz w:val="24"/>
      <w:szCs w:val="24"/>
    </w:rPr>
  </w:style>
  <w:style w:type="paragraph" w:styleId="Heading4">
    <w:name w:val="heading 4"/>
    <w:basedOn w:val="Normal"/>
    <w:next w:val="Normal"/>
    <w:link w:val="Heading4Char"/>
    <w:uiPriority w:val="9"/>
    <w:unhideWhenUsed/>
    <w:qFormat/>
    <w:rsid w:val="00831ADE"/>
    <w:pPr>
      <w:keepNext/>
      <w:keepLines/>
      <w:spacing w:before="40" w:after="0"/>
      <w:outlineLvl w:val="3"/>
    </w:pPr>
    <w:rPr>
      <w:rFonts w:asciiTheme="majorHAnsi" w:eastAsiaTheme="majorEastAsia" w:hAnsiTheme="majorHAnsi" w:cstheme="majorBidi"/>
      <w:i/>
      <w:iCs/>
      <w:color w:val="21003E" w:themeColor="accent1" w:themeShade="BF"/>
    </w:rPr>
  </w:style>
  <w:style w:type="paragraph" w:styleId="Heading5">
    <w:name w:val="heading 5"/>
    <w:basedOn w:val="Normal"/>
    <w:next w:val="Normal"/>
    <w:link w:val="Heading5Char"/>
    <w:uiPriority w:val="9"/>
    <w:unhideWhenUsed/>
    <w:qFormat/>
    <w:rsid w:val="00831ADE"/>
    <w:pPr>
      <w:keepNext/>
      <w:keepLines/>
      <w:spacing w:before="40" w:after="0"/>
      <w:outlineLvl w:val="4"/>
    </w:pPr>
    <w:rPr>
      <w:rFonts w:asciiTheme="majorHAnsi" w:eastAsiaTheme="majorEastAsia" w:hAnsiTheme="majorHAnsi" w:cstheme="majorBidi"/>
      <w:color w:val="21003E" w:themeColor="accent1" w:themeShade="BF"/>
    </w:rPr>
  </w:style>
  <w:style w:type="paragraph" w:styleId="Heading8">
    <w:name w:val="heading 8"/>
    <w:basedOn w:val="Normal"/>
    <w:next w:val="Normal"/>
    <w:link w:val="Heading8Char"/>
    <w:uiPriority w:val="9"/>
    <w:semiHidden/>
    <w:unhideWhenUsed/>
    <w:qFormat/>
    <w:rsid w:val="00AC457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0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0EA"/>
  </w:style>
  <w:style w:type="paragraph" w:styleId="Footer">
    <w:name w:val="footer"/>
    <w:basedOn w:val="Normal"/>
    <w:link w:val="FooterChar"/>
    <w:uiPriority w:val="99"/>
    <w:unhideWhenUsed/>
    <w:rsid w:val="001030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0EA"/>
  </w:style>
  <w:style w:type="paragraph" w:styleId="BalloonText">
    <w:name w:val="Balloon Text"/>
    <w:basedOn w:val="Normal"/>
    <w:link w:val="BalloonTextChar"/>
    <w:uiPriority w:val="99"/>
    <w:semiHidden/>
    <w:unhideWhenUsed/>
    <w:rsid w:val="00103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0EA"/>
    <w:rPr>
      <w:rFonts w:ascii="Tahoma" w:hAnsi="Tahoma" w:cs="Tahoma"/>
      <w:sz w:val="16"/>
      <w:szCs w:val="16"/>
    </w:rPr>
  </w:style>
  <w:style w:type="table" w:styleId="TableGrid">
    <w:name w:val="Table Grid"/>
    <w:basedOn w:val="TableNormal"/>
    <w:uiPriority w:val="59"/>
    <w:rsid w:val="00961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96127F"/>
    <w:pPr>
      <w:spacing w:after="0" w:line="240" w:lineRule="auto"/>
    </w:pPr>
    <w:tblPr>
      <w:tblStyleRowBandSize w:val="1"/>
      <w:tblStyleColBandSize w:val="1"/>
      <w:tblBorders>
        <w:top w:val="single" w:sz="8" w:space="0" w:color="00CC00" w:themeColor="accent3"/>
        <w:left w:val="single" w:sz="8" w:space="0" w:color="00CC00" w:themeColor="accent3"/>
        <w:bottom w:val="single" w:sz="8" w:space="0" w:color="00CC00" w:themeColor="accent3"/>
        <w:right w:val="single" w:sz="8" w:space="0" w:color="00CC00" w:themeColor="accent3"/>
      </w:tblBorders>
    </w:tblPr>
    <w:tblStylePr w:type="firstRow">
      <w:pPr>
        <w:spacing w:before="0" w:after="0" w:line="240" w:lineRule="auto"/>
      </w:pPr>
      <w:rPr>
        <w:b/>
        <w:bCs/>
        <w:color w:val="FFFFFF" w:themeColor="background1"/>
      </w:rPr>
      <w:tblPr/>
      <w:tcPr>
        <w:shd w:val="clear" w:color="auto" w:fill="00CC00" w:themeFill="accent3"/>
      </w:tcPr>
    </w:tblStylePr>
    <w:tblStylePr w:type="lastRow">
      <w:pPr>
        <w:spacing w:before="0" w:after="0" w:line="240" w:lineRule="auto"/>
      </w:pPr>
      <w:rPr>
        <w:b/>
        <w:bCs/>
      </w:rPr>
      <w:tblPr/>
      <w:tcPr>
        <w:tcBorders>
          <w:top w:val="double" w:sz="6" w:space="0" w:color="00CC00" w:themeColor="accent3"/>
          <w:left w:val="single" w:sz="8" w:space="0" w:color="00CC00" w:themeColor="accent3"/>
          <w:bottom w:val="single" w:sz="8" w:space="0" w:color="00CC00" w:themeColor="accent3"/>
          <w:right w:val="single" w:sz="8" w:space="0" w:color="00CC00" w:themeColor="accent3"/>
        </w:tcBorders>
      </w:tcPr>
    </w:tblStylePr>
    <w:tblStylePr w:type="firstCol">
      <w:rPr>
        <w:b/>
        <w:bCs/>
      </w:rPr>
    </w:tblStylePr>
    <w:tblStylePr w:type="lastCol">
      <w:rPr>
        <w:b/>
        <w:bCs/>
      </w:rPr>
    </w:tblStylePr>
    <w:tblStylePr w:type="band1Vert">
      <w:tblPr/>
      <w:tcPr>
        <w:tcBorders>
          <w:top w:val="single" w:sz="8" w:space="0" w:color="00CC00" w:themeColor="accent3"/>
          <w:left w:val="single" w:sz="8" w:space="0" w:color="00CC00" w:themeColor="accent3"/>
          <w:bottom w:val="single" w:sz="8" w:space="0" w:color="00CC00" w:themeColor="accent3"/>
          <w:right w:val="single" w:sz="8" w:space="0" w:color="00CC00" w:themeColor="accent3"/>
        </w:tcBorders>
      </w:tcPr>
    </w:tblStylePr>
    <w:tblStylePr w:type="band1Horz">
      <w:tblPr/>
      <w:tcPr>
        <w:tcBorders>
          <w:top w:val="single" w:sz="8" w:space="0" w:color="00CC00" w:themeColor="accent3"/>
          <w:left w:val="single" w:sz="8" w:space="0" w:color="00CC00" w:themeColor="accent3"/>
          <w:bottom w:val="single" w:sz="8" w:space="0" w:color="00CC00" w:themeColor="accent3"/>
          <w:right w:val="single" w:sz="8" w:space="0" w:color="00CC00" w:themeColor="accent3"/>
        </w:tcBorders>
      </w:tcPr>
    </w:tblStylePr>
  </w:style>
  <w:style w:type="character" w:customStyle="1" w:styleId="Heading1Char">
    <w:name w:val="Heading 1 Char"/>
    <w:basedOn w:val="DefaultParagraphFont"/>
    <w:link w:val="Heading1"/>
    <w:uiPriority w:val="9"/>
    <w:rsid w:val="00876DB0"/>
    <w:rPr>
      <w:rFonts w:asciiTheme="majorHAnsi" w:eastAsiaTheme="majorEastAsia" w:hAnsiTheme="majorHAnsi" w:cstheme="majorBidi"/>
      <w:b/>
      <w:bCs/>
      <w:color w:val="21003E" w:themeColor="accent1" w:themeShade="BF"/>
      <w:sz w:val="28"/>
      <w:szCs w:val="28"/>
    </w:rPr>
  </w:style>
  <w:style w:type="paragraph" w:styleId="TOCHeading">
    <w:name w:val="TOC Heading"/>
    <w:basedOn w:val="Heading1"/>
    <w:next w:val="Normal"/>
    <w:uiPriority w:val="39"/>
    <w:semiHidden/>
    <w:unhideWhenUsed/>
    <w:qFormat/>
    <w:rsid w:val="00876DB0"/>
    <w:pPr>
      <w:outlineLvl w:val="9"/>
    </w:pPr>
    <w:rPr>
      <w:lang w:val="en-US" w:eastAsia="ja-JP"/>
    </w:rPr>
  </w:style>
  <w:style w:type="paragraph" w:styleId="TOC1">
    <w:name w:val="toc 1"/>
    <w:basedOn w:val="Normal"/>
    <w:next w:val="Normal"/>
    <w:autoRedefine/>
    <w:uiPriority w:val="39"/>
    <w:unhideWhenUsed/>
    <w:rsid w:val="00E66793"/>
    <w:pPr>
      <w:tabs>
        <w:tab w:val="left" w:pos="660"/>
        <w:tab w:val="right" w:leader="dot" w:pos="9736"/>
      </w:tabs>
      <w:spacing w:after="100"/>
    </w:pPr>
  </w:style>
  <w:style w:type="character" w:styleId="Hyperlink">
    <w:name w:val="Hyperlink"/>
    <w:basedOn w:val="DefaultParagraphFont"/>
    <w:uiPriority w:val="99"/>
    <w:unhideWhenUsed/>
    <w:rsid w:val="00A731DB"/>
    <w:rPr>
      <w:color w:val="0070C0" w:themeColor="hyperlink"/>
      <w:u w:val="single"/>
    </w:rPr>
  </w:style>
  <w:style w:type="table" w:styleId="LightList-Accent1">
    <w:name w:val="Light List Accent 1"/>
    <w:basedOn w:val="TableNormal"/>
    <w:uiPriority w:val="61"/>
    <w:rsid w:val="00A731DB"/>
    <w:pPr>
      <w:spacing w:after="0" w:line="240" w:lineRule="auto"/>
    </w:pPr>
    <w:tblPr>
      <w:tblStyleRowBandSize w:val="1"/>
      <w:tblStyleColBandSize w:val="1"/>
      <w:tblBorders>
        <w:top w:val="single" w:sz="8" w:space="0" w:color="2D0054" w:themeColor="accent1"/>
        <w:left w:val="single" w:sz="8" w:space="0" w:color="2D0054" w:themeColor="accent1"/>
        <w:bottom w:val="single" w:sz="8" w:space="0" w:color="2D0054" w:themeColor="accent1"/>
        <w:right w:val="single" w:sz="8" w:space="0" w:color="2D0054" w:themeColor="accent1"/>
      </w:tblBorders>
    </w:tblPr>
    <w:tblStylePr w:type="firstRow">
      <w:pPr>
        <w:spacing w:before="0" w:after="0" w:line="240" w:lineRule="auto"/>
      </w:pPr>
      <w:rPr>
        <w:b/>
        <w:bCs/>
        <w:color w:val="FFFFFF" w:themeColor="background1"/>
      </w:rPr>
      <w:tblPr/>
      <w:tcPr>
        <w:shd w:val="clear" w:color="auto" w:fill="2D0054" w:themeFill="accent1"/>
      </w:tcPr>
    </w:tblStylePr>
    <w:tblStylePr w:type="lastRow">
      <w:pPr>
        <w:spacing w:before="0" w:after="0" w:line="240" w:lineRule="auto"/>
      </w:pPr>
      <w:rPr>
        <w:b/>
        <w:bCs/>
      </w:rPr>
      <w:tblPr/>
      <w:tcPr>
        <w:tcBorders>
          <w:top w:val="double" w:sz="6" w:space="0" w:color="2D0054" w:themeColor="accent1"/>
          <w:left w:val="single" w:sz="8" w:space="0" w:color="2D0054" w:themeColor="accent1"/>
          <w:bottom w:val="single" w:sz="8" w:space="0" w:color="2D0054" w:themeColor="accent1"/>
          <w:right w:val="single" w:sz="8" w:space="0" w:color="2D0054" w:themeColor="accent1"/>
        </w:tcBorders>
      </w:tcPr>
    </w:tblStylePr>
    <w:tblStylePr w:type="firstCol">
      <w:rPr>
        <w:b/>
        <w:bCs/>
      </w:rPr>
    </w:tblStylePr>
    <w:tblStylePr w:type="lastCol">
      <w:rPr>
        <w:b/>
        <w:bCs/>
      </w:rPr>
    </w:tblStylePr>
    <w:tblStylePr w:type="band1Vert">
      <w:tblPr/>
      <w:tcPr>
        <w:tcBorders>
          <w:top w:val="single" w:sz="8" w:space="0" w:color="2D0054" w:themeColor="accent1"/>
          <w:left w:val="single" w:sz="8" w:space="0" w:color="2D0054" w:themeColor="accent1"/>
          <w:bottom w:val="single" w:sz="8" w:space="0" w:color="2D0054" w:themeColor="accent1"/>
          <w:right w:val="single" w:sz="8" w:space="0" w:color="2D0054" w:themeColor="accent1"/>
        </w:tcBorders>
      </w:tcPr>
    </w:tblStylePr>
    <w:tblStylePr w:type="band1Horz">
      <w:tblPr/>
      <w:tcPr>
        <w:tcBorders>
          <w:top w:val="single" w:sz="8" w:space="0" w:color="2D0054" w:themeColor="accent1"/>
          <w:left w:val="single" w:sz="8" w:space="0" w:color="2D0054" w:themeColor="accent1"/>
          <w:bottom w:val="single" w:sz="8" w:space="0" w:color="2D0054" w:themeColor="accent1"/>
          <w:right w:val="single" w:sz="8" w:space="0" w:color="2D0054" w:themeColor="accent1"/>
        </w:tcBorders>
      </w:tcPr>
    </w:tblStylePr>
  </w:style>
  <w:style w:type="paragraph" w:styleId="NormalWeb">
    <w:name w:val="Normal (Web)"/>
    <w:basedOn w:val="Normal"/>
    <w:uiPriority w:val="99"/>
    <w:semiHidden/>
    <w:unhideWhenUsed/>
    <w:rsid w:val="00661A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uiPriority w:val="9"/>
    <w:semiHidden/>
    <w:rsid w:val="00AC457D"/>
    <w:rPr>
      <w:rFonts w:asciiTheme="majorHAnsi" w:eastAsiaTheme="majorEastAsia" w:hAnsiTheme="majorHAnsi" w:cstheme="majorBidi"/>
      <w:color w:val="404040" w:themeColor="text1" w:themeTint="BF"/>
      <w:sz w:val="20"/>
      <w:szCs w:val="20"/>
    </w:rPr>
  </w:style>
  <w:style w:type="character" w:customStyle="1" w:styleId="Heading2Char">
    <w:name w:val="Heading 2 Char"/>
    <w:basedOn w:val="DefaultParagraphFont"/>
    <w:link w:val="Heading2"/>
    <w:uiPriority w:val="9"/>
    <w:rsid w:val="00AC457D"/>
    <w:rPr>
      <w:rFonts w:asciiTheme="majorHAnsi" w:eastAsiaTheme="majorEastAsia" w:hAnsiTheme="majorHAnsi" w:cstheme="majorBidi"/>
      <w:b/>
      <w:bCs/>
      <w:color w:val="2D0054" w:themeColor="accent1"/>
      <w:sz w:val="26"/>
      <w:szCs w:val="26"/>
    </w:rPr>
  </w:style>
  <w:style w:type="paragraph" w:customStyle="1" w:styleId="listbulletround1">
    <w:name w:val="listbulletround1"/>
    <w:basedOn w:val="Normal"/>
    <w:rsid w:val="00AC457D"/>
    <w:pPr>
      <w:numPr>
        <w:numId w:val="4"/>
      </w:numPr>
      <w:spacing w:before="120" w:after="120" w:line="240" w:lineRule="auto"/>
    </w:pPr>
    <w:rPr>
      <w:rFonts w:ascii="Arial" w:eastAsia="Times New Roman" w:hAnsi="Arial" w:cs="Times New Roman"/>
      <w:color w:val="000000"/>
      <w:sz w:val="20"/>
      <w:szCs w:val="20"/>
    </w:rPr>
  </w:style>
  <w:style w:type="paragraph" w:customStyle="1" w:styleId="listbulletdash2">
    <w:name w:val="listbulletdash2"/>
    <w:basedOn w:val="Normal"/>
    <w:rsid w:val="00AC457D"/>
    <w:pPr>
      <w:numPr>
        <w:numId w:val="5"/>
      </w:numPr>
      <w:autoSpaceDE w:val="0"/>
      <w:autoSpaceDN w:val="0"/>
      <w:spacing w:before="120" w:after="120" w:line="240" w:lineRule="auto"/>
    </w:pPr>
    <w:rPr>
      <w:rFonts w:ascii="Arial" w:eastAsia="Times New Roman" w:hAnsi="Arial" w:cs="Arial"/>
      <w:color w:val="000000"/>
      <w:sz w:val="20"/>
      <w:szCs w:val="20"/>
    </w:rPr>
  </w:style>
  <w:style w:type="character" w:styleId="IntenseEmphasis">
    <w:name w:val="Intense Emphasis"/>
    <w:basedOn w:val="DefaultParagraphFont"/>
    <w:uiPriority w:val="21"/>
    <w:qFormat/>
    <w:rsid w:val="00225422"/>
    <w:rPr>
      <w:b/>
      <w:bCs/>
      <w:i/>
      <w:iCs/>
      <w:color w:val="2D0054" w:themeColor="accent1"/>
    </w:rPr>
  </w:style>
  <w:style w:type="paragraph" w:styleId="ListParagraph">
    <w:name w:val="List Paragraph"/>
    <w:basedOn w:val="Normal"/>
    <w:uiPriority w:val="34"/>
    <w:qFormat/>
    <w:rsid w:val="00225422"/>
    <w:pPr>
      <w:ind w:left="720"/>
      <w:contextualSpacing/>
    </w:pPr>
  </w:style>
  <w:style w:type="character" w:customStyle="1" w:styleId="Heading3Char">
    <w:name w:val="Heading 3 Char"/>
    <w:basedOn w:val="DefaultParagraphFont"/>
    <w:link w:val="Heading3"/>
    <w:uiPriority w:val="9"/>
    <w:rsid w:val="0017211F"/>
    <w:rPr>
      <w:rFonts w:asciiTheme="majorHAnsi" w:eastAsiaTheme="majorEastAsia" w:hAnsiTheme="majorHAnsi" w:cstheme="majorBidi"/>
      <w:color w:val="160029" w:themeColor="accent1" w:themeShade="7F"/>
      <w:sz w:val="24"/>
      <w:szCs w:val="24"/>
    </w:rPr>
  </w:style>
  <w:style w:type="paragraph" w:styleId="TOC3">
    <w:name w:val="toc 3"/>
    <w:basedOn w:val="Normal"/>
    <w:next w:val="Normal"/>
    <w:autoRedefine/>
    <w:uiPriority w:val="39"/>
    <w:unhideWhenUsed/>
    <w:rsid w:val="00465842"/>
    <w:pPr>
      <w:spacing w:after="100"/>
      <w:ind w:left="440"/>
    </w:pPr>
  </w:style>
  <w:style w:type="paragraph" w:styleId="NoSpacing">
    <w:name w:val="No Spacing"/>
    <w:uiPriority w:val="1"/>
    <w:qFormat/>
    <w:rsid w:val="006F5F31"/>
    <w:pPr>
      <w:spacing w:after="0" w:line="240" w:lineRule="auto"/>
    </w:pPr>
  </w:style>
  <w:style w:type="character" w:customStyle="1" w:styleId="Heading4Char">
    <w:name w:val="Heading 4 Char"/>
    <w:basedOn w:val="DefaultParagraphFont"/>
    <w:link w:val="Heading4"/>
    <w:uiPriority w:val="9"/>
    <w:rsid w:val="00831ADE"/>
    <w:rPr>
      <w:rFonts w:asciiTheme="majorHAnsi" w:eastAsiaTheme="majorEastAsia" w:hAnsiTheme="majorHAnsi" w:cstheme="majorBidi"/>
      <w:i/>
      <w:iCs/>
      <w:color w:val="21003E" w:themeColor="accent1" w:themeShade="BF"/>
    </w:rPr>
  </w:style>
  <w:style w:type="character" w:customStyle="1" w:styleId="Heading5Char">
    <w:name w:val="Heading 5 Char"/>
    <w:basedOn w:val="DefaultParagraphFont"/>
    <w:link w:val="Heading5"/>
    <w:uiPriority w:val="9"/>
    <w:rsid w:val="00831ADE"/>
    <w:rPr>
      <w:rFonts w:asciiTheme="majorHAnsi" w:eastAsiaTheme="majorEastAsia" w:hAnsiTheme="majorHAnsi" w:cstheme="majorBidi"/>
      <w:color w:val="21003E" w:themeColor="accent1" w:themeShade="BF"/>
    </w:rPr>
  </w:style>
  <w:style w:type="paragraph" w:styleId="TOC2">
    <w:name w:val="toc 2"/>
    <w:basedOn w:val="Normal"/>
    <w:next w:val="Normal"/>
    <w:autoRedefine/>
    <w:uiPriority w:val="39"/>
    <w:unhideWhenUsed/>
    <w:rsid w:val="0005129C"/>
    <w:pPr>
      <w:spacing w:after="100"/>
      <w:ind w:left="220"/>
    </w:pPr>
  </w:style>
  <w:style w:type="character" w:styleId="CommentReference">
    <w:name w:val="annotation reference"/>
    <w:basedOn w:val="DefaultParagraphFont"/>
    <w:uiPriority w:val="99"/>
    <w:semiHidden/>
    <w:unhideWhenUsed/>
    <w:rsid w:val="007E7532"/>
    <w:rPr>
      <w:sz w:val="16"/>
      <w:szCs w:val="16"/>
    </w:rPr>
  </w:style>
  <w:style w:type="paragraph" w:styleId="CommentText">
    <w:name w:val="annotation text"/>
    <w:basedOn w:val="Normal"/>
    <w:link w:val="CommentTextChar"/>
    <w:uiPriority w:val="99"/>
    <w:unhideWhenUsed/>
    <w:rsid w:val="007E7532"/>
    <w:pPr>
      <w:spacing w:line="240" w:lineRule="auto"/>
    </w:pPr>
    <w:rPr>
      <w:sz w:val="20"/>
      <w:szCs w:val="20"/>
    </w:rPr>
  </w:style>
  <w:style w:type="character" w:customStyle="1" w:styleId="CommentTextChar">
    <w:name w:val="Comment Text Char"/>
    <w:basedOn w:val="DefaultParagraphFont"/>
    <w:link w:val="CommentText"/>
    <w:uiPriority w:val="99"/>
    <w:rsid w:val="007E7532"/>
    <w:rPr>
      <w:sz w:val="20"/>
      <w:szCs w:val="20"/>
    </w:rPr>
  </w:style>
  <w:style w:type="paragraph" w:styleId="CommentSubject">
    <w:name w:val="annotation subject"/>
    <w:basedOn w:val="CommentText"/>
    <w:next w:val="CommentText"/>
    <w:link w:val="CommentSubjectChar"/>
    <w:uiPriority w:val="99"/>
    <w:semiHidden/>
    <w:unhideWhenUsed/>
    <w:rsid w:val="007E7532"/>
    <w:rPr>
      <w:b/>
      <w:bCs/>
    </w:rPr>
  </w:style>
  <w:style w:type="character" w:customStyle="1" w:styleId="CommentSubjectChar">
    <w:name w:val="Comment Subject Char"/>
    <w:basedOn w:val="CommentTextChar"/>
    <w:link w:val="CommentSubject"/>
    <w:uiPriority w:val="99"/>
    <w:semiHidden/>
    <w:rsid w:val="007E75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135209">
      <w:bodyDiv w:val="1"/>
      <w:marLeft w:val="0"/>
      <w:marRight w:val="0"/>
      <w:marTop w:val="0"/>
      <w:marBottom w:val="0"/>
      <w:divBdr>
        <w:top w:val="none" w:sz="0" w:space="0" w:color="auto"/>
        <w:left w:val="none" w:sz="0" w:space="0" w:color="auto"/>
        <w:bottom w:val="none" w:sz="0" w:space="0" w:color="auto"/>
        <w:right w:val="none" w:sz="0" w:space="0" w:color="auto"/>
      </w:divBdr>
    </w:div>
    <w:div w:id="1184980030">
      <w:bodyDiv w:val="1"/>
      <w:marLeft w:val="0"/>
      <w:marRight w:val="0"/>
      <w:marTop w:val="0"/>
      <w:marBottom w:val="0"/>
      <w:divBdr>
        <w:top w:val="none" w:sz="0" w:space="0" w:color="auto"/>
        <w:left w:val="none" w:sz="0" w:space="0" w:color="auto"/>
        <w:bottom w:val="none" w:sz="0" w:space="0" w:color="auto"/>
        <w:right w:val="none" w:sz="0" w:space="0" w:color="auto"/>
      </w:divBdr>
    </w:div>
    <w:div w:id="1209803607">
      <w:bodyDiv w:val="1"/>
      <w:marLeft w:val="0"/>
      <w:marRight w:val="0"/>
      <w:marTop w:val="0"/>
      <w:marBottom w:val="0"/>
      <w:divBdr>
        <w:top w:val="none" w:sz="0" w:space="0" w:color="auto"/>
        <w:left w:val="none" w:sz="0" w:space="0" w:color="auto"/>
        <w:bottom w:val="none" w:sz="0" w:space="0" w:color="auto"/>
        <w:right w:val="none" w:sz="0" w:space="0" w:color="auto"/>
      </w:divBdr>
    </w:div>
    <w:div w:id="143328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chart" Target="charts/chart5.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s>
</file>

<file path=word/_rels/header2.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In-house carbon emissions (tCO2e)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2018/19</c:v>
                </c:pt>
                <c:pt idx="1">
                  <c:v>2019/20</c:v>
                </c:pt>
                <c:pt idx="2">
                  <c:v>2020/21</c:v>
                </c:pt>
                <c:pt idx="3">
                  <c:v>2021/22</c:v>
                </c:pt>
              </c:strCache>
            </c:strRef>
          </c:cat>
          <c:val>
            <c:numRef>
              <c:f>Sheet1!$B$2:$B$5</c:f>
              <c:numCache>
                <c:formatCode>General</c:formatCode>
                <c:ptCount val="4"/>
                <c:pt idx="0">
                  <c:v>2500</c:v>
                </c:pt>
                <c:pt idx="1">
                  <c:v>2154</c:v>
                </c:pt>
                <c:pt idx="2">
                  <c:v>1974</c:v>
                </c:pt>
                <c:pt idx="3">
                  <c:v>1958</c:v>
                </c:pt>
              </c:numCache>
            </c:numRef>
          </c:val>
          <c:extLst>
            <c:ext xmlns:c16="http://schemas.microsoft.com/office/drawing/2014/chart" uri="{C3380CC4-5D6E-409C-BE32-E72D297353CC}">
              <c16:uniqueId val="{00000000-A638-43BC-B134-E0E1E7995BF8}"/>
            </c:ext>
          </c:extLst>
        </c:ser>
        <c:dLbls>
          <c:dLblPos val="outEnd"/>
          <c:showLegendKey val="0"/>
          <c:showVal val="1"/>
          <c:showCatName val="0"/>
          <c:showSerName val="0"/>
          <c:showPercent val="0"/>
          <c:showBubbleSize val="0"/>
        </c:dLbls>
        <c:gapWidth val="219"/>
        <c:overlap val="-27"/>
        <c:axId val="177680016"/>
        <c:axId val="177676688"/>
      </c:barChart>
      <c:catAx>
        <c:axId val="177680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676688"/>
        <c:crosses val="autoZero"/>
        <c:auto val="1"/>
        <c:lblAlgn val="ctr"/>
        <c:lblOffset val="100"/>
        <c:noMultiLvlLbl val="0"/>
      </c:catAx>
      <c:valAx>
        <c:axId val="1776766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tCO2e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680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Heat/Gas tCO2e</c:v>
                </c:pt>
              </c:strCache>
            </c:strRef>
          </c:tx>
          <c:spPr>
            <a:ln w="28575" cap="rnd">
              <a:solidFill>
                <a:schemeClr val="accent6"/>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2018/19</c:v>
                </c:pt>
                <c:pt idx="1">
                  <c:v>2019/20</c:v>
                </c:pt>
                <c:pt idx="2">
                  <c:v>2020/21</c:v>
                </c:pt>
                <c:pt idx="3">
                  <c:v>2021/22</c:v>
                </c:pt>
              </c:strCache>
            </c:strRef>
          </c:cat>
          <c:val>
            <c:numRef>
              <c:f>Sheet1!$B$2:$B$5</c:f>
              <c:numCache>
                <c:formatCode>General</c:formatCode>
                <c:ptCount val="4"/>
                <c:pt idx="0">
                  <c:v>811</c:v>
                </c:pt>
                <c:pt idx="1">
                  <c:v>651</c:v>
                </c:pt>
                <c:pt idx="2">
                  <c:v>492</c:v>
                </c:pt>
                <c:pt idx="3">
                  <c:v>618</c:v>
                </c:pt>
              </c:numCache>
            </c:numRef>
          </c:val>
          <c:smooth val="0"/>
          <c:extLst>
            <c:ext xmlns:c16="http://schemas.microsoft.com/office/drawing/2014/chart" uri="{C3380CC4-5D6E-409C-BE32-E72D297353CC}">
              <c16:uniqueId val="{00000000-0EA7-4016-A1B8-B8827F8AB7F0}"/>
            </c:ext>
          </c:extLst>
        </c:ser>
        <c:ser>
          <c:idx val="1"/>
          <c:order val="1"/>
          <c:tx>
            <c:strRef>
              <c:f>Sheet1!$C$1</c:f>
              <c:strCache>
                <c:ptCount val="1"/>
                <c:pt idx="0">
                  <c:v>Fleet/Diesel tCO2e</c:v>
                </c:pt>
              </c:strCache>
            </c:strRef>
          </c:tx>
          <c:spPr>
            <a:ln w="28575" cap="rnd">
              <a:solidFill>
                <a:schemeClr val="accent5"/>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2018/19</c:v>
                </c:pt>
                <c:pt idx="1">
                  <c:v>2019/20</c:v>
                </c:pt>
                <c:pt idx="2">
                  <c:v>2020/21</c:v>
                </c:pt>
                <c:pt idx="3">
                  <c:v>2021/22</c:v>
                </c:pt>
              </c:strCache>
            </c:strRef>
          </c:cat>
          <c:val>
            <c:numRef>
              <c:f>Sheet1!$C$2:$C$5</c:f>
              <c:numCache>
                <c:formatCode>General</c:formatCode>
                <c:ptCount val="4"/>
                <c:pt idx="0">
                  <c:v>722</c:v>
                </c:pt>
                <c:pt idx="1">
                  <c:v>742</c:v>
                </c:pt>
                <c:pt idx="2">
                  <c:v>837</c:v>
                </c:pt>
                <c:pt idx="3">
                  <c:v>818</c:v>
                </c:pt>
              </c:numCache>
            </c:numRef>
          </c:val>
          <c:smooth val="0"/>
          <c:extLst>
            <c:ext xmlns:c16="http://schemas.microsoft.com/office/drawing/2014/chart" uri="{C3380CC4-5D6E-409C-BE32-E72D297353CC}">
              <c16:uniqueId val="{00000001-0EA7-4016-A1B8-B8827F8AB7F0}"/>
            </c:ext>
          </c:extLst>
        </c:ser>
        <c:ser>
          <c:idx val="2"/>
          <c:order val="2"/>
          <c:tx>
            <c:strRef>
              <c:f>Sheet1!$D$1</c:f>
              <c:strCache>
                <c:ptCount val="1"/>
                <c:pt idx="0">
                  <c:v>Electricity tCO2e</c:v>
                </c:pt>
              </c:strCache>
            </c:strRef>
          </c:tx>
          <c:spPr>
            <a:ln w="28575" cap="rnd">
              <a:solidFill>
                <a:schemeClr val="accent4"/>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2018/19</c:v>
                </c:pt>
                <c:pt idx="1">
                  <c:v>2019/20</c:v>
                </c:pt>
                <c:pt idx="2">
                  <c:v>2020/21</c:v>
                </c:pt>
                <c:pt idx="3">
                  <c:v>2021/22</c:v>
                </c:pt>
              </c:strCache>
            </c:strRef>
          </c:cat>
          <c:val>
            <c:numRef>
              <c:f>Sheet1!$D$2:$D$5</c:f>
              <c:numCache>
                <c:formatCode>General</c:formatCode>
                <c:ptCount val="4"/>
                <c:pt idx="0">
                  <c:v>485</c:v>
                </c:pt>
                <c:pt idx="1">
                  <c:v>414</c:v>
                </c:pt>
                <c:pt idx="2">
                  <c:v>294</c:v>
                </c:pt>
                <c:pt idx="3">
                  <c:v>233</c:v>
                </c:pt>
              </c:numCache>
            </c:numRef>
          </c:val>
          <c:smooth val="0"/>
          <c:extLst>
            <c:ext xmlns:c16="http://schemas.microsoft.com/office/drawing/2014/chart" uri="{C3380CC4-5D6E-409C-BE32-E72D297353CC}">
              <c16:uniqueId val="{00000002-0EA7-4016-A1B8-B8827F8AB7F0}"/>
            </c:ext>
          </c:extLst>
        </c:ser>
        <c:ser>
          <c:idx val="3"/>
          <c:order val="3"/>
          <c:tx>
            <c:strRef>
              <c:f>Sheet1!$E$1</c:f>
              <c:strCache>
                <c:ptCount val="1"/>
                <c:pt idx="0">
                  <c:v>Refrigerants tCO2e</c:v>
                </c:pt>
              </c:strCache>
            </c:strRef>
          </c:tx>
          <c:spPr>
            <a:ln w="28575" cap="rnd">
              <a:solidFill>
                <a:schemeClr val="accent6">
                  <a:lumMod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2018/19</c:v>
                </c:pt>
                <c:pt idx="1">
                  <c:v>2019/20</c:v>
                </c:pt>
                <c:pt idx="2">
                  <c:v>2020/21</c:v>
                </c:pt>
                <c:pt idx="3">
                  <c:v>2021/22</c:v>
                </c:pt>
              </c:strCache>
            </c:strRef>
          </c:cat>
          <c:val>
            <c:numRef>
              <c:f>Sheet1!$E$2:$E$5</c:f>
              <c:numCache>
                <c:formatCode>General</c:formatCode>
                <c:ptCount val="4"/>
                <c:pt idx="0">
                  <c:v>484</c:v>
                </c:pt>
                <c:pt idx="1">
                  <c:v>348</c:v>
                </c:pt>
                <c:pt idx="2">
                  <c:v>351</c:v>
                </c:pt>
                <c:pt idx="3">
                  <c:v>269</c:v>
                </c:pt>
              </c:numCache>
            </c:numRef>
          </c:val>
          <c:smooth val="0"/>
          <c:extLst>
            <c:ext xmlns:c16="http://schemas.microsoft.com/office/drawing/2014/chart" uri="{C3380CC4-5D6E-409C-BE32-E72D297353CC}">
              <c16:uniqueId val="{00000004-0EA7-4016-A1B8-B8827F8AB7F0}"/>
            </c:ext>
          </c:extLst>
        </c:ser>
        <c:dLbls>
          <c:dLblPos val="ctr"/>
          <c:showLegendKey val="0"/>
          <c:showVal val="1"/>
          <c:showCatName val="0"/>
          <c:showSerName val="0"/>
          <c:showPercent val="0"/>
          <c:showBubbleSize val="0"/>
        </c:dLbls>
        <c:smooth val="0"/>
        <c:axId val="554702880"/>
        <c:axId val="554706624"/>
      </c:lineChart>
      <c:catAx>
        <c:axId val="55470288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4706624"/>
        <c:crosses val="autoZero"/>
        <c:auto val="1"/>
        <c:lblAlgn val="ctr"/>
        <c:lblOffset val="100"/>
        <c:noMultiLvlLbl val="0"/>
      </c:catAx>
      <c:valAx>
        <c:axId val="5547066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tCO2e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4702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a:t>Electricity carbon emissions by</a:t>
            </a:r>
            <a:r>
              <a:rPr lang="en-GB" sz="1100" baseline="0"/>
              <a:t> location</a:t>
            </a:r>
            <a:endParaRPr lang="en-GB"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2018/19</c:v>
                </c:pt>
              </c:strCache>
            </c:strRef>
          </c:tx>
          <c:spPr>
            <a:solidFill>
              <a:schemeClr val="accent1"/>
            </a:solidFill>
            <a:ln>
              <a:noFill/>
            </a:ln>
            <a:effectLst/>
          </c:spPr>
          <c:invertIfNegative val="0"/>
          <c:cat>
            <c:strRef>
              <c:f>Sheet1!$A$2:$A$7</c:f>
              <c:strCache>
                <c:ptCount val="6"/>
                <c:pt idx="0">
                  <c:v>Civic Office</c:v>
                </c:pt>
                <c:pt idx="1">
                  <c:v>Other Public Buildings</c:v>
                </c:pt>
                <c:pt idx="2">
                  <c:v>Boardman Depot</c:v>
                </c:pt>
                <c:pt idx="3">
                  <c:v>Greenbank LC</c:v>
                </c:pt>
                <c:pt idx="4">
                  <c:v>Etwall LC</c:v>
                </c:pt>
                <c:pt idx="5">
                  <c:v>Rosliston </c:v>
                </c:pt>
              </c:strCache>
            </c:strRef>
          </c:cat>
          <c:val>
            <c:numRef>
              <c:f>Sheet1!$B$2:$B$7</c:f>
              <c:numCache>
                <c:formatCode>General</c:formatCode>
                <c:ptCount val="6"/>
                <c:pt idx="0">
                  <c:v>91</c:v>
                </c:pt>
                <c:pt idx="1">
                  <c:v>119</c:v>
                </c:pt>
                <c:pt idx="2">
                  <c:v>17</c:v>
                </c:pt>
                <c:pt idx="3">
                  <c:v>150</c:v>
                </c:pt>
                <c:pt idx="4">
                  <c:v>66</c:v>
                </c:pt>
                <c:pt idx="5">
                  <c:v>34</c:v>
                </c:pt>
              </c:numCache>
            </c:numRef>
          </c:val>
          <c:extLst>
            <c:ext xmlns:c16="http://schemas.microsoft.com/office/drawing/2014/chart" uri="{C3380CC4-5D6E-409C-BE32-E72D297353CC}">
              <c16:uniqueId val="{00000000-20E5-457F-93F9-E7538C578C44}"/>
            </c:ext>
          </c:extLst>
        </c:ser>
        <c:ser>
          <c:idx val="1"/>
          <c:order val="1"/>
          <c:tx>
            <c:strRef>
              <c:f>Sheet1!$C$1</c:f>
              <c:strCache>
                <c:ptCount val="1"/>
                <c:pt idx="0">
                  <c:v>2019/20</c:v>
                </c:pt>
              </c:strCache>
            </c:strRef>
          </c:tx>
          <c:spPr>
            <a:solidFill>
              <a:schemeClr val="accent2"/>
            </a:solidFill>
            <a:ln>
              <a:noFill/>
            </a:ln>
            <a:effectLst/>
          </c:spPr>
          <c:invertIfNegative val="0"/>
          <c:cat>
            <c:strRef>
              <c:f>Sheet1!$A$2:$A$7</c:f>
              <c:strCache>
                <c:ptCount val="6"/>
                <c:pt idx="0">
                  <c:v>Civic Office</c:v>
                </c:pt>
                <c:pt idx="1">
                  <c:v>Other Public Buildings</c:v>
                </c:pt>
                <c:pt idx="2">
                  <c:v>Boardman Depot</c:v>
                </c:pt>
                <c:pt idx="3">
                  <c:v>Greenbank LC</c:v>
                </c:pt>
                <c:pt idx="4">
                  <c:v>Etwall LC</c:v>
                </c:pt>
                <c:pt idx="5">
                  <c:v>Rosliston </c:v>
                </c:pt>
              </c:strCache>
            </c:strRef>
          </c:cat>
          <c:val>
            <c:numRef>
              <c:f>Sheet1!$C$2:$C$7</c:f>
              <c:numCache>
                <c:formatCode>General</c:formatCode>
                <c:ptCount val="6"/>
                <c:pt idx="0">
                  <c:v>79</c:v>
                </c:pt>
                <c:pt idx="1">
                  <c:v>117</c:v>
                </c:pt>
                <c:pt idx="2">
                  <c:v>17</c:v>
                </c:pt>
                <c:pt idx="3">
                  <c:v>128</c:v>
                </c:pt>
                <c:pt idx="4">
                  <c:v>42</c:v>
                </c:pt>
                <c:pt idx="5">
                  <c:v>30</c:v>
                </c:pt>
              </c:numCache>
            </c:numRef>
          </c:val>
          <c:extLst>
            <c:ext xmlns:c16="http://schemas.microsoft.com/office/drawing/2014/chart" uri="{C3380CC4-5D6E-409C-BE32-E72D297353CC}">
              <c16:uniqueId val="{00000001-20E5-457F-93F9-E7538C578C44}"/>
            </c:ext>
          </c:extLst>
        </c:ser>
        <c:ser>
          <c:idx val="2"/>
          <c:order val="2"/>
          <c:tx>
            <c:strRef>
              <c:f>Sheet1!$D$1</c:f>
              <c:strCache>
                <c:ptCount val="1"/>
                <c:pt idx="0">
                  <c:v>2020/21</c:v>
                </c:pt>
              </c:strCache>
            </c:strRef>
          </c:tx>
          <c:spPr>
            <a:solidFill>
              <a:schemeClr val="accent3"/>
            </a:solidFill>
            <a:ln>
              <a:noFill/>
            </a:ln>
            <a:effectLst/>
          </c:spPr>
          <c:invertIfNegative val="0"/>
          <c:cat>
            <c:strRef>
              <c:f>Sheet1!$A$2:$A$7</c:f>
              <c:strCache>
                <c:ptCount val="6"/>
                <c:pt idx="0">
                  <c:v>Civic Office</c:v>
                </c:pt>
                <c:pt idx="1">
                  <c:v>Other Public Buildings</c:v>
                </c:pt>
                <c:pt idx="2">
                  <c:v>Boardman Depot</c:v>
                </c:pt>
                <c:pt idx="3">
                  <c:v>Greenbank LC</c:v>
                </c:pt>
                <c:pt idx="4">
                  <c:v>Etwall LC</c:v>
                </c:pt>
                <c:pt idx="5">
                  <c:v>Rosliston </c:v>
                </c:pt>
              </c:strCache>
            </c:strRef>
          </c:cat>
          <c:val>
            <c:numRef>
              <c:f>Sheet1!$D$2:$D$7</c:f>
              <c:numCache>
                <c:formatCode>General</c:formatCode>
                <c:ptCount val="6"/>
                <c:pt idx="0">
                  <c:v>53</c:v>
                </c:pt>
                <c:pt idx="1">
                  <c:v>97</c:v>
                </c:pt>
                <c:pt idx="2">
                  <c:v>16</c:v>
                </c:pt>
                <c:pt idx="3">
                  <c:v>70</c:v>
                </c:pt>
                <c:pt idx="4">
                  <c:v>34</c:v>
                </c:pt>
                <c:pt idx="5">
                  <c:v>24</c:v>
                </c:pt>
              </c:numCache>
            </c:numRef>
          </c:val>
          <c:extLst>
            <c:ext xmlns:c16="http://schemas.microsoft.com/office/drawing/2014/chart" uri="{C3380CC4-5D6E-409C-BE32-E72D297353CC}">
              <c16:uniqueId val="{00000002-20E5-457F-93F9-E7538C578C44}"/>
            </c:ext>
          </c:extLst>
        </c:ser>
        <c:ser>
          <c:idx val="3"/>
          <c:order val="3"/>
          <c:tx>
            <c:strRef>
              <c:f>Sheet1!$E$1</c:f>
              <c:strCache>
                <c:ptCount val="1"/>
                <c:pt idx="0">
                  <c:v>2021/22</c:v>
                </c:pt>
              </c:strCache>
            </c:strRef>
          </c:tx>
          <c:spPr>
            <a:solidFill>
              <a:schemeClr val="accent4"/>
            </a:solidFill>
            <a:ln>
              <a:noFill/>
            </a:ln>
            <a:effectLst/>
          </c:spPr>
          <c:invertIfNegative val="0"/>
          <c:cat>
            <c:strRef>
              <c:f>Sheet1!$A$2:$A$7</c:f>
              <c:strCache>
                <c:ptCount val="6"/>
                <c:pt idx="0">
                  <c:v>Civic Office</c:v>
                </c:pt>
                <c:pt idx="1">
                  <c:v>Other Public Buildings</c:v>
                </c:pt>
                <c:pt idx="2">
                  <c:v>Boardman Depot</c:v>
                </c:pt>
                <c:pt idx="3">
                  <c:v>Greenbank LC</c:v>
                </c:pt>
                <c:pt idx="4">
                  <c:v>Etwall LC</c:v>
                </c:pt>
                <c:pt idx="5">
                  <c:v>Rosliston </c:v>
                </c:pt>
              </c:strCache>
            </c:strRef>
          </c:cat>
          <c:val>
            <c:numRef>
              <c:f>Sheet1!$E$2:$E$7</c:f>
              <c:numCache>
                <c:formatCode>General</c:formatCode>
                <c:ptCount val="6"/>
                <c:pt idx="0">
                  <c:v>49</c:v>
                </c:pt>
                <c:pt idx="1">
                  <c:v>90</c:v>
                </c:pt>
                <c:pt idx="2">
                  <c:v>16</c:v>
                </c:pt>
                <c:pt idx="3">
                  <c:v>72</c:v>
                </c:pt>
                <c:pt idx="4">
                  <c:v>28</c:v>
                </c:pt>
                <c:pt idx="5">
                  <c:v>23</c:v>
                </c:pt>
              </c:numCache>
            </c:numRef>
          </c:val>
          <c:extLst>
            <c:ext xmlns:c16="http://schemas.microsoft.com/office/drawing/2014/chart" uri="{C3380CC4-5D6E-409C-BE32-E72D297353CC}">
              <c16:uniqueId val="{00000003-20E5-457F-93F9-E7538C578C44}"/>
            </c:ext>
          </c:extLst>
        </c:ser>
        <c:dLbls>
          <c:showLegendKey val="0"/>
          <c:showVal val="0"/>
          <c:showCatName val="0"/>
          <c:showSerName val="0"/>
          <c:showPercent val="0"/>
          <c:showBubbleSize val="0"/>
        </c:dLbls>
        <c:gapWidth val="219"/>
        <c:overlap val="-27"/>
        <c:axId val="1536160512"/>
        <c:axId val="1536159680"/>
      </c:barChart>
      <c:catAx>
        <c:axId val="1536160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6159680"/>
        <c:crosses val="autoZero"/>
        <c:auto val="1"/>
        <c:lblAlgn val="ctr"/>
        <c:lblOffset val="100"/>
        <c:noMultiLvlLbl val="0"/>
      </c:catAx>
      <c:valAx>
        <c:axId val="1536159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tCO2e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6160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100"/>
              <a:t>Heating/gas carbon</a:t>
            </a:r>
            <a:r>
              <a:rPr lang="en-GB" sz="1100" baseline="0"/>
              <a:t> emissions by location</a:t>
            </a:r>
            <a:endParaRPr lang="en-GB"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2018/19</c:v>
                </c:pt>
              </c:strCache>
            </c:strRef>
          </c:tx>
          <c:spPr>
            <a:solidFill>
              <a:schemeClr val="accent1"/>
            </a:solidFill>
            <a:ln>
              <a:noFill/>
            </a:ln>
            <a:effectLst/>
          </c:spPr>
          <c:invertIfNegative val="0"/>
          <c:cat>
            <c:strRef>
              <c:f>Sheet1!$A$2:$A$7</c:f>
              <c:strCache>
                <c:ptCount val="6"/>
                <c:pt idx="0">
                  <c:v>Civic Office</c:v>
                </c:pt>
                <c:pt idx="1">
                  <c:v>Other Public Buildings</c:v>
                </c:pt>
                <c:pt idx="2">
                  <c:v>Boardman Depot</c:v>
                </c:pt>
                <c:pt idx="3">
                  <c:v>Greenbank LC</c:v>
                </c:pt>
                <c:pt idx="4">
                  <c:v>Etwall LC</c:v>
                </c:pt>
                <c:pt idx="5">
                  <c:v>Roslistion </c:v>
                </c:pt>
              </c:strCache>
            </c:strRef>
          </c:cat>
          <c:val>
            <c:numRef>
              <c:f>Sheet1!$B$2:$B$7</c:f>
              <c:numCache>
                <c:formatCode>General</c:formatCode>
                <c:ptCount val="6"/>
                <c:pt idx="0">
                  <c:v>49</c:v>
                </c:pt>
                <c:pt idx="1">
                  <c:v>33</c:v>
                </c:pt>
                <c:pt idx="2">
                  <c:v>26</c:v>
                </c:pt>
                <c:pt idx="3">
                  <c:v>439</c:v>
                </c:pt>
                <c:pt idx="4">
                  <c:v>162</c:v>
                </c:pt>
                <c:pt idx="5">
                  <c:v>101</c:v>
                </c:pt>
              </c:numCache>
            </c:numRef>
          </c:val>
          <c:extLst>
            <c:ext xmlns:c16="http://schemas.microsoft.com/office/drawing/2014/chart" uri="{C3380CC4-5D6E-409C-BE32-E72D297353CC}">
              <c16:uniqueId val="{00000000-1795-4C82-BD95-556758D03016}"/>
            </c:ext>
          </c:extLst>
        </c:ser>
        <c:ser>
          <c:idx val="1"/>
          <c:order val="1"/>
          <c:tx>
            <c:strRef>
              <c:f>Sheet1!$C$1</c:f>
              <c:strCache>
                <c:ptCount val="1"/>
                <c:pt idx="0">
                  <c:v>2019/20</c:v>
                </c:pt>
              </c:strCache>
            </c:strRef>
          </c:tx>
          <c:spPr>
            <a:solidFill>
              <a:schemeClr val="accent2"/>
            </a:solidFill>
            <a:ln>
              <a:noFill/>
            </a:ln>
            <a:effectLst/>
          </c:spPr>
          <c:invertIfNegative val="0"/>
          <c:cat>
            <c:strRef>
              <c:f>Sheet1!$A$2:$A$7</c:f>
              <c:strCache>
                <c:ptCount val="6"/>
                <c:pt idx="0">
                  <c:v>Civic Office</c:v>
                </c:pt>
                <c:pt idx="1">
                  <c:v>Other Public Buildings</c:v>
                </c:pt>
                <c:pt idx="2">
                  <c:v>Boardman Depot</c:v>
                </c:pt>
                <c:pt idx="3">
                  <c:v>Greenbank LC</c:v>
                </c:pt>
                <c:pt idx="4">
                  <c:v>Etwall LC</c:v>
                </c:pt>
                <c:pt idx="5">
                  <c:v>Roslistion </c:v>
                </c:pt>
              </c:strCache>
            </c:strRef>
          </c:cat>
          <c:val>
            <c:numRef>
              <c:f>Sheet1!$C$2:$C$7</c:f>
              <c:numCache>
                <c:formatCode>General</c:formatCode>
                <c:ptCount val="6"/>
                <c:pt idx="0">
                  <c:v>56</c:v>
                </c:pt>
                <c:pt idx="1">
                  <c:v>40</c:v>
                </c:pt>
                <c:pt idx="2">
                  <c:v>24</c:v>
                </c:pt>
                <c:pt idx="3">
                  <c:v>277</c:v>
                </c:pt>
                <c:pt idx="4">
                  <c:v>171</c:v>
                </c:pt>
                <c:pt idx="5">
                  <c:v>83</c:v>
                </c:pt>
              </c:numCache>
            </c:numRef>
          </c:val>
          <c:extLst>
            <c:ext xmlns:c16="http://schemas.microsoft.com/office/drawing/2014/chart" uri="{C3380CC4-5D6E-409C-BE32-E72D297353CC}">
              <c16:uniqueId val="{00000001-1795-4C82-BD95-556758D03016}"/>
            </c:ext>
          </c:extLst>
        </c:ser>
        <c:ser>
          <c:idx val="2"/>
          <c:order val="2"/>
          <c:tx>
            <c:strRef>
              <c:f>Sheet1!$D$1</c:f>
              <c:strCache>
                <c:ptCount val="1"/>
                <c:pt idx="0">
                  <c:v>2020/21</c:v>
                </c:pt>
              </c:strCache>
            </c:strRef>
          </c:tx>
          <c:spPr>
            <a:solidFill>
              <a:schemeClr val="accent3"/>
            </a:solidFill>
            <a:ln>
              <a:noFill/>
            </a:ln>
            <a:effectLst/>
          </c:spPr>
          <c:invertIfNegative val="0"/>
          <c:cat>
            <c:strRef>
              <c:f>Sheet1!$A$2:$A$7</c:f>
              <c:strCache>
                <c:ptCount val="6"/>
                <c:pt idx="0">
                  <c:v>Civic Office</c:v>
                </c:pt>
                <c:pt idx="1">
                  <c:v>Other Public Buildings</c:v>
                </c:pt>
                <c:pt idx="2">
                  <c:v>Boardman Depot</c:v>
                </c:pt>
                <c:pt idx="3">
                  <c:v>Greenbank LC</c:v>
                </c:pt>
                <c:pt idx="4">
                  <c:v>Etwall LC</c:v>
                </c:pt>
                <c:pt idx="5">
                  <c:v>Roslistion </c:v>
                </c:pt>
              </c:strCache>
            </c:strRef>
          </c:cat>
          <c:val>
            <c:numRef>
              <c:f>Sheet1!$D$2:$D$7</c:f>
              <c:numCache>
                <c:formatCode>General</c:formatCode>
                <c:ptCount val="6"/>
                <c:pt idx="0">
                  <c:v>80</c:v>
                </c:pt>
                <c:pt idx="1">
                  <c:v>44</c:v>
                </c:pt>
                <c:pt idx="2">
                  <c:v>18</c:v>
                </c:pt>
                <c:pt idx="3">
                  <c:v>149</c:v>
                </c:pt>
                <c:pt idx="4">
                  <c:v>137</c:v>
                </c:pt>
                <c:pt idx="5">
                  <c:v>62</c:v>
                </c:pt>
              </c:numCache>
            </c:numRef>
          </c:val>
          <c:extLst>
            <c:ext xmlns:c16="http://schemas.microsoft.com/office/drawing/2014/chart" uri="{C3380CC4-5D6E-409C-BE32-E72D297353CC}">
              <c16:uniqueId val="{00000002-1795-4C82-BD95-556758D03016}"/>
            </c:ext>
          </c:extLst>
        </c:ser>
        <c:ser>
          <c:idx val="3"/>
          <c:order val="3"/>
          <c:tx>
            <c:strRef>
              <c:f>Sheet1!$E$1</c:f>
              <c:strCache>
                <c:ptCount val="1"/>
                <c:pt idx="0">
                  <c:v>2021/22</c:v>
                </c:pt>
              </c:strCache>
            </c:strRef>
          </c:tx>
          <c:spPr>
            <a:solidFill>
              <a:schemeClr val="accent4"/>
            </a:solidFill>
            <a:ln>
              <a:noFill/>
            </a:ln>
            <a:effectLst/>
          </c:spPr>
          <c:invertIfNegative val="0"/>
          <c:cat>
            <c:strRef>
              <c:f>Sheet1!$A$2:$A$7</c:f>
              <c:strCache>
                <c:ptCount val="6"/>
                <c:pt idx="0">
                  <c:v>Civic Office</c:v>
                </c:pt>
                <c:pt idx="1">
                  <c:v>Other Public Buildings</c:v>
                </c:pt>
                <c:pt idx="2">
                  <c:v>Boardman Depot</c:v>
                </c:pt>
                <c:pt idx="3">
                  <c:v>Greenbank LC</c:v>
                </c:pt>
                <c:pt idx="4">
                  <c:v>Etwall LC</c:v>
                </c:pt>
                <c:pt idx="5">
                  <c:v>Roslistion </c:v>
                </c:pt>
              </c:strCache>
            </c:strRef>
          </c:cat>
          <c:val>
            <c:numRef>
              <c:f>Sheet1!$E$2:$E$7</c:f>
              <c:numCache>
                <c:formatCode>General</c:formatCode>
                <c:ptCount val="6"/>
                <c:pt idx="0">
                  <c:v>56</c:v>
                </c:pt>
                <c:pt idx="1">
                  <c:v>17</c:v>
                </c:pt>
                <c:pt idx="2">
                  <c:v>16</c:v>
                </c:pt>
                <c:pt idx="3">
                  <c:v>251</c:v>
                </c:pt>
                <c:pt idx="4">
                  <c:v>197</c:v>
                </c:pt>
                <c:pt idx="5">
                  <c:v>94</c:v>
                </c:pt>
              </c:numCache>
            </c:numRef>
          </c:val>
          <c:extLst>
            <c:ext xmlns:c16="http://schemas.microsoft.com/office/drawing/2014/chart" uri="{C3380CC4-5D6E-409C-BE32-E72D297353CC}">
              <c16:uniqueId val="{00000003-1795-4C82-BD95-556758D03016}"/>
            </c:ext>
          </c:extLst>
        </c:ser>
        <c:dLbls>
          <c:showLegendKey val="0"/>
          <c:showVal val="0"/>
          <c:showCatName val="0"/>
          <c:showSerName val="0"/>
          <c:showPercent val="0"/>
          <c:showBubbleSize val="0"/>
        </c:dLbls>
        <c:gapWidth val="219"/>
        <c:overlap val="-27"/>
        <c:axId val="2102742384"/>
        <c:axId val="2102733232"/>
      </c:barChart>
      <c:catAx>
        <c:axId val="2102742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2733232"/>
        <c:crosses val="autoZero"/>
        <c:auto val="1"/>
        <c:lblAlgn val="ctr"/>
        <c:lblOffset val="100"/>
        <c:noMultiLvlLbl val="0"/>
      </c:catAx>
      <c:valAx>
        <c:axId val="21027332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tCO2e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2742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2018/19</c:v>
                </c:pt>
              </c:strCache>
            </c:strRef>
          </c:tx>
          <c:spPr>
            <a:solidFill>
              <a:schemeClr val="accent1"/>
            </a:solidFill>
            <a:ln>
              <a:noFill/>
            </a:ln>
            <a:effectLst/>
          </c:spPr>
          <c:invertIfNegative val="0"/>
          <c:cat>
            <c:strRef>
              <c:f>Sheet1!$A$2:$A$5</c:f>
              <c:strCache>
                <c:ptCount val="4"/>
                <c:pt idx="0">
                  <c:v>Waste</c:v>
                </c:pt>
                <c:pt idx="1">
                  <c:v>Water</c:v>
                </c:pt>
                <c:pt idx="2">
                  <c:v>Communting </c:v>
                </c:pt>
                <c:pt idx="3">
                  <c:v>Grey Fleet*</c:v>
                </c:pt>
              </c:strCache>
            </c:strRef>
          </c:cat>
          <c:val>
            <c:numRef>
              <c:f>Sheet1!$B$2:$B$5</c:f>
              <c:numCache>
                <c:formatCode>General</c:formatCode>
                <c:ptCount val="4"/>
                <c:pt idx="0">
                  <c:v>3.5</c:v>
                </c:pt>
                <c:pt idx="1">
                  <c:v>27</c:v>
                </c:pt>
                <c:pt idx="2">
                  <c:v>86</c:v>
                </c:pt>
                <c:pt idx="3">
                  <c:v>54</c:v>
                </c:pt>
              </c:numCache>
            </c:numRef>
          </c:val>
          <c:extLst>
            <c:ext xmlns:c16="http://schemas.microsoft.com/office/drawing/2014/chart" uri="{C3380CC4-5D6E-409C-BE32-E72D297353CC}">
              <c16:uniqueId val="{00000000-398F-49B7-BA5D-C09870B81600}"/>
            </c:ext>
          </c:extLst>
        </c:ser>
        <c:ser>
          <c:idx val="1"/>
          <c:order val="1"/>
          <c:tx>
            <c:strRef>
              <c:f>Sheet1!$C$1</c:f>
              <c:strCache>
                <c:ptCount val="1"/>
                <c:pt idx="0">
                  <c:v>2019/20</c:v>
                </c:pt>
              </c:strCache>
            </c:strRef>
          </c:tx>
          <c:spPr>
            <a:solidFill>
              <a:schemeClr val="accent2"/>
            </a:solidFill>
            <a:ln>
              <a:noFill/>
            </a:ln>
            <a:effectLst/>
          </c:spPr>
          <c:invertIfNegative val="0"/>
          <c:cat>
            <c:strRef>
              <c:f>Sheet1!$A$2:$A$5</c:f>
              <c:strCache>
                <c:ptCount val="4"/>
                <c:pt idx="0">
                  <c:v>Waste</c:v>
                </c:pt>
                <c:pt idx="1">
                  <c:v>Water</c:v>
                </c:pt>
                <c:pt idx="2">
                  <c:v>Communting </c:v>
                </c:pt>
                <c:pt idx="3">
                  <c:v>Grey Fleet*</c:v>
                </c:pt>
              </c:strCache>
            </c:strRef>
          </c:cat>
          <c:val>
            <c:numRef>
              <c:f>Sheet1!$C$2:$C$5</c:f>
              <c:numCache>
                <c:formatCode>General</c:formatCode>
                <c:ptCount val="4"/>
                <c:pt idx="0">
                  <c:v>3.3</c:v>
                </c:pt>
                <c:pt idx="1">
                  <c:v>27</c:v>
                </c:pt>
                <c:pt idx="2">
                  <c:v>86</c:v>
                </c:pt>
                <c:pt idx="3">
                  <c:v>54</c:v>
                </c:pt>
              </c:numCache>
            </c:numRef>
          </c:val>
          <c:extLst>
            <c:ext xmlns:c16="http://schemas.microsoft.com/office/drawing/2014/chart" uri="{C3380CC4-5D6E-409C-BE32-E72D297353CC}">
              <c16:uniqueId val="{00000001-398F-49B7-BA5D-C09870B81600}"/>
            </c:ext>
          </c:extLst>
        </c:ser>
        <c:ser>
          <c:idx val="2"/>
          <c:order val="2"/>
          <c:tx>
            <c:strRef>
              <c:f>Sheet1!$D$1</c:f>
              <c:strCache>
                <c:ptCount val="1"/>
                <c:pt idx="0">
                  <c:v>2020/21</c:v>
                </c:pt>
              </c:strCache>
            </c:strRef>
          </c:tx>
          <c:spPr>
            <a:solidFill>
              <a:schemeClr val="accent3"/>
            </a:solidFill>
            <a:ln>
              <a:noFill/>
            </a:ln>
            <a:effectLst/>
          </c:spPr>
          <c:invertIfNegative val="0"/>
          <c:cat>
            <c:strRef>
              <c:f>Sheet1!$A$2:$A$5</c:f>
              <c:strCache>
                <c:ptCount val="4"/>
                <c:pt idx="0">
                  <c:v>Waste</c:v>
                </c:pt>
                <c:pt idx="1">
                  <c:v>Water</c:v>
                </c:pt>
                <c:pt idx="2">
                  <c:v>Communting </c:v>
                </c:pt>
                <c:pt idx="3">
                  <c:v>Grey Fleet*</c:v>
                </c:pt>
              </c:strCache>
            </c:strRef>
          </c:cat>
          <c:val>
            <c:numRef>
              <c:f>Sheet1!$D$2:$D$5</c:f>
              <c:numCache>
                <c:formatCode>General</c:formatCode>
                <c:ptCount val="4"/>
                <c:pt idx="0">
                  <c:v>3.4</c:v>
                </c:pt>
                <c:pt idx="1">
                  <c:v>23</c:v>
                </c:pt>
                <c:pt idx="2">
                  <c:v>39</c:v>
                </c:pt>
                <c:pt idx="3">
                  <c:v>27</c:v>
                </c:pt>
              </c:numCache>
            </c:numRef>
          </c:val>
          <c:extLst>
            <c:ext xmlns:c16="http://schemas.microsoft.com/office/drawing/2014/chart" uri="{C3380CC4-5D6E-409C-BE32-E72D297353CC}">
              <c16:uniqueId val="{00000002-398F-49B7-BA5D-C09870B81600}"/>
            </c:ext>
          </c:extLst>
        </c:ser>
        <c:ser>
          <c:idx val="3"/>
          <c:order val="3"/>
          <c:tx>
            <c:strRef>
              <c:f>Sheet1!$E$1</c:f>
              <c:strCache>
                <c:ptCount val="1"/>
                <c:pt idx="0">
                  <c:v>2020/212</c:v>
                </c:pt>
              </c:strCache>
            </c:strRef>
          </c:tx>
          <c:spPr>
            <a:solidFill>
              <a:schemeClr val="accent4"/>
            </a:solidFill>
            <a:ln>
              <a:noFill/>
            </a:ln>
            <a:effectLst/>
          </c:spPr>
          <c:invertIfNegative val="0"/>
          <c:cat>
            <c:strRef>
              <c:f>Sheet1!$A$2:$A$5</c:f>
              <c:strCache>
                <c:ptCount val="4"/>
                <c:pt idx="0">
                  <c:v>Waste</c:v>
                </c:pt>
                <c:pt idx="1">
                  <c:v>Water</c:v>
                </c:pt>
                <c:pt idx="2">
                  <c:v>Communting </c:v>
                </c:pt>
                <c:pt idx="3">
                  <c:v>Grey Fleet*</c:v>
                </c:pt>
              </c:strCache>
            </c:strRef>
          </c:cat>
          <c:val>
            <c:numRef>
              <c:f>Sheet1!$E$2:$E$5</c:f>
              <c:numCache>
                <c:formatCode>General</c:formatCode>
                <c:ptCount val="4"/>
                <c:pt idx="0">
                  <c:v>6.7</c:v>
                </c:pt>
                <c:pt idx="1">
                  <c:v>13</c:v>
                </c:pt>
                <c:pt idx="2">
                  <c:v>40</c:v>
                </c:pt>
                <c:pt idx="3">
                  <c:v>36</c:v>
                </c:pt>
              </c:numCache>
            </c:numRef>
          </c:val>
          <c:extLst>
            <c:ext xmlns:c16="http://schemas.microsoft.com/office/drawing/2014/chart" uri="{C3380CC4-5D6E-409C-BE32-E72D297353CC}">
              <c16:uniqueId val="{00000004-398F-49B7-BA5D-C09870B81600}"/>
            </c:ext>
          </c:extLst>
        </c:ser>
        <c:dLbls>
          <c:showLegendKey val="0"/>
          <c:showVal val="0"/>
          <c:showCatName val="0"/>
          <c:showSerName val="0"/>
          <c:showPercent val="0"/>
          <c:showBubbleSize val="0"/>
        </c:dLbls>
        <c:gapWidth val="219"/>
        <c:overlap val="-27"/>
        <c:axId val="21250944"/>
        <c:axId val="21245120"/>
      </c:barChart>
      <c:catAx>
        <c:axId val="21250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45120"/>
        <c:crosses val="autoZero"/>
        <c:auto val="1"/>
        <c:lblAlgn val="ctr"/>
        <c:lblOffset val="100"/>
        <c:noMultiLvlLbl val="0"/>
      </c:catAx>
      <c:valAx>
        <c:axId val="21245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tCO2e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50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t>Council</a:t>
            </a:r>
            <a:r>
              <a:rPr lang="en-GB" sz="1200" b="1" baseline="0"/>
              <a:t> in-house carbon roadmap</a:t>
            </a:r>
            <a:endParaRPr lang="en-GB"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Sheet1!$B$1</c:f>
              <c:strCache>
                <c:ptCount val="1"/>
                <c:pt idx="0">
                  <c:v>Civic Way</c:v>
                </c:pt>
              </c:strCache>
            </c:strRef>
          </c:tx>
          <c:spPr>
            <a:ln w="28575" cap="rnd">
              <a:solidFill>
                <a:schemeClr val="accent1"/>
              </a:solidFill>
              <a:round/>
            </a:ln>
            <a:effectLst/>
          </c:spPr>
          <c:marker>
            <c:symbol val="none"/>
          </c:marker>
          <c:cat>
            <c:strRef>
              <c:f>Sheet1!$A$2:$A$5</c:f>
              <c:strCache>
                <c:ptCount val="4"/>
                <c:pt idx="0">
                  <c:v>2018/19</c:v>
                </c:pt>
                <c:pt idx="1">
                  <c:v>2022/23</c:v>
                </c:pt>
                <c:pt idx="2">
                  <c:v>2025/26</c:v>
                </c:pt>
                <c:pt idx="3">
                  <c:v>2029/30</c:v>
                </c:pt>
              </c:strCache>
            </c:strRef>
          </c:cat>
          <c:val>
            <c:numRef>
              <c:f>Sheet1!$B$2:$B$5</c:f>
              <c:numCache>
                <c:formatCode>General</c:formatCode>
                <c:ptCount val="4"/>
                <c:pt idx="0">
                  <c:v>208.3</c:v>
                </c:pt>
                <c:pt idx="1">
                  <c:v>204.7</c:v>
                </c:pt>
                <c:pt idx="2">
                  <c:v>203.9</c:v>
                </c:pt>
                <c:pt idx="3">
                  <c:v>26.5</c:v>
                </c:pt>
              </c:numCache>
            </c:numRef>
          </c:val>
          <c:smooth val="0"/>
          <c:extLst>
            <c:ext xmlns:c16="http://schemas.microsoft.com/office/drawing/2014/chart" uri="{C3380CC4-5D6E-409C-BE32-E72D297353CC}">
              <c16:uniqueId val="{00000000-A007-40A4-811C-8B0259F44F24}"/>
            </c:ext>
          </c:extLst>
        </c:ser>
        <c:ser>
          <c:idx val="1"/>
          <c:order val="1"/>
          <c:tx>
            <c:strRef>
              <c:f>Sheet1!$C$1</c:f>
              <c:strCache>
                <c:ptCount val="1"/>
                <c:pt idx="0">
                  <c:v>Public Buildings</c:v>
                </c:pt>
              </c:strCache>
            </c:strRef>
          </c:tx>
          <c:spPr>
            <a:ln w="28575" cap="rnd">
              <a:solidFill>
                <a:schemeClr val="accent2"/>
              </a:solidFill>
              <a:round/>
            </a:ln>
            <a:effectLst/>
          </c:spPr>
          <c:marker>
            <c:symbol val="none"/>
          </c:marker>
          <c:cat>
            <c:strRef>
              <c:f>Sheet1!$A$2:$A$5</c:f>
              <c:strCache>
                <c:ptCount val="4"/>
                <c:pt idx="0">
                  <c:v>2018/19</c:v>
                </c:pt>
                <c:pt idx="1">
                  <c:v>2022/23</c:v>
                </c:pt>
                <c:pt idx="2">
                  <c:v>2025/26</c:v>
                </c:pt>
                <c:pt idx="3">
                  <c:v>2029/30</c:v>
                </c:pt>
              </c:strCache>
            </c:strRef>
          </c:cat>
          <c:val>
            <c:numRef>
              <c:f>Sheet1!$C$2:$C$5</c:f>
              <c:numCache>
                <c:formatCode>General</c:formatCode>
                <c:ptCount val="4"/>
                <c:pt idx="0">
                  <c:v>151.80000000000001</c:v>
                </c:pt>
                <c:pt idx="1">
                  <c:v>148.69999999999999</c:v>
                </c:pt>
                <c:pt idx="2">
                  <c:v>141.19999999999999</c:v>
                </c:pt>
                <c:pt idx="3">
                  <c:v>37.9</c:v>
                </c:pt>
              </c:numCache>
            </c:numRef>
          </c:val>
          <c:smooth val="0"/>
          <c:extLst>
            <c:ext xmlns:c16="http://schemas.microsoft.com/office/drawing/2014/chart" uri="{C3380CC4-5D6E-409C-BE32-E72D297353CC}">
              <c16:uniqueId val="{00000001-A007-40A4-811C-8B0259F44F24}"/>
            </c:ext>
          </c:extLst>
        </c:ser>
        <c:ser>
          <c:idx val="2"/>
          <c:order val="2"/>
          <c:tx>
            <c:strRef>
              <c:f>Sheet1!$D$1</c:f>
              <c:strCache>
                <c:ptCount val="1"/>
                <c:pt idx="0">
                  <c:v>B. Depot</c:v>
                </c:pt>
              </c:strCache>
            </c:strRef>
          </c:tx>
          <c:spPr>
            <a:ln w="28575" cap="rnd">
              <a:solidFill>
                <a:schemeClr val="accent3"/>
              </a:solidFill>
              <a:round/>
            </a:ln>
            <a:effectLst/>
          </c:spPr>
          <c:marker>
            <c:symbol val="none"/>
          </c:marker>
          <c:cat>
            <c:strRef>
              <c:f>Sheet1!$A$2:$A$5</c:f>
              <c:strCache>
                <c:ptCount val="4"/>
                <c:pt idx="0">
                  <c:v>2018/19</c:v>
                </c:pt>
                <c:pt idx="1">
                  <c:v>2022/23</c:v>
                </c:pt>
                <c:pt idx="2">
                  <c:v>2025/26</c:v>
                </c:pt>
                <c:pt idx="3">
                  <c:v>2029/30</c:v>
                </c:pt>
              </c:strCache>
            </c:strRef>
          </c:cat>
          <c:val>
            <c:numRef>
              <c:f>Sheet1!$D$2:$D$5</c:f>
              <c:numCache>
                <c:formatCode>General</c:formatCode>
                <c:ptCount val="4"/>
                <c:pt idx="0">
                  <c:v>75.099999999999994</c:v>
                </c:pt>
                <c:pt idx="1">
                  <c:v>65.400000000000006</c:v>
                </c:pt>
                <c:pt idx="2">
                  <c:v>24</c:v>
                </c:pt>
                <c:pt idx="3">
                  <c:v>8.5</c:v>
                </c:pt>
              </c:numCache>
            </c:numRef>
          </c:val>
          <c:smooth val="0"/>
          <c:extLst>
            <c:ext xmlns:c16="http://schemas.microsoft.com/office/drawing/2014/chart" uri="{C3380CC4-5D6E-409C-BE32-E72D297353CC}">
              <c16:uniqueId val="{00000002-A007-40A4-811C-8B0259F44F24}"/>
            </c:ext>
          </c:extLst>
        </c:ser>
        <c:ser>
          <c:idx val="3"/>
          <c:order val="3"/>
          <c:tx>
            <c:strRef>
              <c:f>Sheet1!$E$1</c:f>
              <c:strCache>
                <c:ptCount val="1"/>
                <c:pt idx="0">
                  <c:v>Rosliston</c:v>
                </c:pt>
              </c:strCache>
            </c:strRef>
          </c:tx>
          <c:spPr>
            <a:ln w="28575" cap="rnd">
              <a:solidFill>
                <a:schemeClr val="accent4"/>
              </a:solidFill>
              <a:round/>
            </a:ln>
            <a:effectLst/>
          </c:spPr>
          <c:marker>
            <c:symbol val="none"/>
          </c:marker>
          <c:cat>
            <c:strRef>
              <c:f>Sheet1!$A$2:$A$5</c:f>
              <c:strCache>
                <c:ptCount val="4"/>
                <c:pt idx="0">
                  <c:v>2018/19</c:v>
                </c:pt>
                <c:pt idx="1">
                  <c:v>2022/23</c:v>
                </c:pt>
                <c:pt idx="2">
                  <c:v>2025/26</c:v>
                </c:pt>
                <c:pt idx="3">
                  <c:v>2029/30</c:v>
                </c:pt>
              </c:strCache>
            </c:strRef>
          </c:cat>
          <c:val>
            <c:numRef>
              <c:f>Sheet1!$E$2:$E$5</c:f>
              <c:numCache>
                <c:formatCode>General</c:formatCode>
                <c:ptCount val="4"/>
                <c:pt idx="0">
                  <c:v>135.9</c:v>
                </c:pt>
                <c:pt idx="1">
                  <c:v>130.80000000000001</c:v>
                </c:pt>
                <c:pt idx="2">
                  <c:v>126.8</c:v>
                </c:pt>
                <c:pt idx="3">
                  <c:v>0</c:v>
                </c:pt>
              </c:numCache>
            </c:numRef>
          </c:val>
          <c:smooth val="0"/>
          <c:extLst>
            <c:ext xmlns:c16="http://schemas.microsoft.com/office/drawing/2014/chart" uri="{C3380CC4-5D6E-409C-BE32-E72D297353CC}">
              <c16:uniqueId val="{00000003-A007-40A4-811C-8B0259F44F24}"/>
            </c:ext>
          </c:extLst>
        </c:ser>
        <c:ser>
          <c:idx val="4"/>
          <c:order val="4"/>
          <c:tx>
            <c:strRef>
              <c:f>Sheet1!$F$1</c:f>
              <c:strCache>
                <c:ptCount val="1"/>
                <c:pt idx="0">
                  <c:v>Leisure C's</c:v>
                </c:pt>
              </c:strCache>
            </c:strRef>
          </c:tx>
          <c:spPr>
            <a:ln w="28575" cap="rnd">
              <a:solidFill>
                <a:schemeClr val="accent5"/>
              </a:solidFill>
              <a:round/>
            </a:ln>
            <a:effectLst/>
          </c:spPr>
          <c:marker>
            <c:symbol val="none"/>
          </c:marker>
          <c:cat>
            <c:strRef>
              <c:f>Sheet1!$A$2:$A$5</c:f>
              <c:strCache>
                <c:ptCount val="4"/>
                <c:pt idx="0">
                  <c:v>2018/19</c:v>
                </c:pt>
                <c:pt idx="1">
                  <c:v>2022/23</c:v>
                </c:pt>
                <c:pt idx="2">
                  <c:v>2025/26</c:v>
                </c:pt>
                <c:pt idx="3">
                  <c:v>2029/30</c:v>
                </c:pt>
              </c:strCache>
            </c:strRef>
          </c:cat>
          <c:val>
            <c:numRef>
              <c:f>Sheet1!$F$2:$F$5</c:f>
              <c:numCache>
                <c:formatCode>General</c:formatCode>
                <c:ptCount val="4"/>
                <c:pt idx="0">
                  <c:v>1202</c:v>
                </c:pt>
                <c:pt idx="1">
                  <c:v>375.6</c:v>
                </c:pt>
                <c:pt idx="2">
                  <c:v>280.60000000000002</c:v>
                </c:pt>
                <c:pt idx="3">
                  <c:v>22.6</c:v>
                </c:pt>
              </c:numCache>
            </c:numRef>
          </c:val>
          <c:smooth val="0"/>
          <c:extLst>
            <c:ext xmlns:c16="http://schemas.microsoft.com/office/drawing/2014/chart" uri="{C3380CC4-5D6E-409C-BE32-E72D297353CC}">
              <c16:uniqueId val="{00000004-A007-40A4-811C-8B0259F44F24}"/>
            </c:ext>
          </c:extLst>
        </c:ser>
        <c:ser>
          <c:idx val="5"/>
          <c:order val="5"/>
          <c:tx>
            <c:strRef>
              <c:f>Sheet1!$G$1</c:f>
              <c:strCache>
                <c:ptCount val="1"/>
                <c:pt idx="0">
                  <c:v>Fleet</c:v>
                </c:pt>
              </c:strCache>
            </c:strRef>
          </c:tx>
          <c:spPr>
            <a:ln w="28575" cap="rnd">
              <a:solidFill>
                <a:schemeClr val="accent6"/>
              </a:solidFill>
              <a:round/>
            </a:ln>
            <a:effectLst/>
          </c:spPr>
          <c:marker>
            <c:symbol val="none"/>
          </c:marker>
          <c:cat>
            <c:strRef>
              <c:f>Sheet1!$A$2:$A$5</c:f>
              <c:strCache>
                <c:ptCount val="4"/>
                <c:pt idx="0">
                  <c:v>2018/19</c:v>
                </c:pt>
                <c:pt idx="1">
                  <c:v>2022/23</c:v>
                </c:pt>
                <c:pt idx="2">
                  <c:v>2025/26</c:v>
                </c:pt>
                <c:pt idx="3">
                  <c:v>2029/30</c:v>
                </c:pt>
              </c:strCache>
            </c:strRef>
          </c:cat>
          <c:val>
            <c:numRef>
              <c:f>Sheet1!$G$2:$G$5</c:f>
              <c:numCache>
                <c:formatCode>General</c:formatCode>
                <c:ptCount val="4"/>
                <c:pt idx="0">
                  <c:v>721.7</c:v>
                </c:pt>
                <c:pt idx="1">
                  <c:v>634.9</c:v>
                </c:pt>
                <c:pt idx="2">
                  <c:v>463.8</c:v>
                </c:pt>
                <c:pt idx="3">
                  <c:v>0</c:v>
                </c:pt>
              </c:numCache>
            </c:numRef>
          </c:val>
          <c:smooth val="0"/>
          <c:extLst>
            <c:ext xmlns:c16="http://schemas.microsoft.com/office/drawing/2014/chart" uri="{C3380CC4-5D6E-409C-BE32-E72D297353CC}">
              <c16:uniqueId val="{00000005-A007-40A4-811C-8B0259F44F24}"/>
            </c:ext>
          </c:extLst>
        </c:ser>
        <c:ser>
          <c:idx val="6"/>
          <c:order val="6"/>
          <c:tx>
            <c:strRef>
              <c:f>Sheet1!$H$1</c:f>
              <c:strCache>
                <c:ptCount val="1"/>
                <c:pt idx="0">
                  <c:v>Council carbon roadmap</c:v>
                </c:pt>
              </c:strCache>
            </c:strRef>
          </c:tx>
          <c:spPr>
            <a:ln w="28575" cap="rnd">
              <a:solidFill>
                <a:schemeClr val="accent1">
                  <a:lumMod val="60000"/>
                </a:schemeClr>
              </a:solidFill>
              <a:round/>
            </a:ln>
            <a:effectLst/>
          </c:spPr>
          <c:marker>
            <c:symbol val="none"/>
          </c:marker>
          <c:cat>
            <c:strRef>
              <c:f>Sheet1!$A$2:$A$5</c:f>
              <c:strCache>
                <c:ptCount val="4"/>
                <c:pt idx="0">
                  <c:v>2018/19</c:v>
                </c:pt>
                <c:pt idx="1">
                  <c:v>2022/23</c:v>
                </c:pt>
                <c:pt idx="2">
                  <c:v>2025/26</c:v>
                </c:pt>
                <c:pt idx="3">
                  <c:v>2029/30</c:v>
                </c:pt>
              </c:strCache>
            </c:strRef>
          </c:cat>
          <c:val>
            <c:numRef>
              <c:f>Sheet1!$H$2:$H$5</c:f>
              <c:numCache>
                <c:formatCode>General</c:formatCode>
                <c:ptCount val="4"/>
              </c:numCache>
            </c:numRef>
          </c:val>
          <c:smooth val="0"/>
          <c:extLst>
            <c:ext xmlns:c16="http://schemas.microsoft.com/office/drawing/2014/chart" uri="{C3380CC4-5D6E-409C-BE32-E72D297353CC}">
              <c16:uniqueId val="{00000006-A007-40A4-811C-8B0259F44F24}"/>
            </c:ext>
          </c:extLst>
        </c:ser>
        <c:dLbls>
          <c:showLegendKey val="0"/>
          <c:showVal val="0"/>
          <c:showCatName val="0"/>
          <c:showSerName val="0"/>
          <c:showPercent val="0"/>
          <c:showBubbleSize val="0"/>
        </c:dLbls>
        <c:smooth val="0"/>
        <c:axId val="1554296159"/>
        <c:axId val="1554301567"/>
      </c:lineChart>
      <c:catAx>
        <c:axId val="155429615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Timeframe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4301567"/>
        <c:crosses val="autoZero"/>
        <c:auto val="1"/>
        <c:lblAlgn val="ctr"/>
        <c:lblOffset val="100"/>
        <c:noMultiLvlLbl val="0"/>
      </c:catAx>
      <c:valAx>
        <c:axId val="155430156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tCO2e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4296159"/>
        <c:crosses val="autoZero"/>
        <c:crossBetween val="between"/>
      </c:valAx>
      <c:spPr>
        <a:noFill/>
        <a:ln>
          <a:noFill/>
        </a:ln>
        <a:effectLst/>
      </c:spPr>
    </c:plotArea>
    <c:legend>
      <c:legendPos val="b"/>
      <c:layout>
        <c:manualLayout>
          <c:xMode val="edge"/>
          <c:yMode val="edge"/>
          <c:x val="0.12432090047845189"/>
          <c:y val="0.84021423884514435"/>
          <c:w val="0.75135803745853336"/>
          <c:h val="0.1347857611548556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Corporate Plan SDDC">
      <a:dk1>
        <a:sysClr val="windowText" lastClr="000000"/>
      </a:dk1>
      <a:lt1>
        <a:sysClr val="window" lastClr="FFFFFF"/>
      </a:lt1>
      <a:dk2>
        <a:srgbClr val="2D0054"/>
      </a:dk2>
      <a:lt2>
        <a:srgbClr val="F2F2F2"/>
      </a:lt2>
      <a:accent1>
        <a:srgbClr val="2D0054"/>
      </a:accent1>
      <a:accent2>
        <a:srgbClr val="99CC00"/>
      </a:accent2>
      <a:accent3>
        <a:srgbClr val="00CC00"/>
      </a:accent3>
      <a:accent4>
        <a:srgbClr val="D60093"/>
      </a:accent4>
      <a:accent5>
        <a:srgbClr val="0066CC"/>
      </a:accent5>
      <a:accent6>
        <a:srgbClr val="FF9900"/>
      </a:accent6>
      <a:hlink>
        <a:srgbClr val="0070C0"/>
      </a:hlink>
      <a:folHlink>
        <a:srgbClr val="800080"/>
      </a:folHlink>
    </a:clrScheme>
    <a:fontScheme name="SDDC Corporate">
      <a:majorFont>
        <a:latin typeface="Trebuchet MS"/>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Corporate Plan SDDC">
    <a:dk1>
      <a:sysClr val="windowText" lastClr="000000"/>
    </a:dk1>
    <a:lt1>
      <a:sysClr val="window" lastClr="FFFFFF"/>
    </a:lt1>
    <a:dk2>
      <a:srgbClr val="2D0054"/>
    </a:dk2>
    <a:lt2>
      <a:srgbClr val="F2F2F2"/>
    </a:lt2>
    <a:accent1>
      <a:srgbClr val="2D0054"/>
    </a:accent1>
    <a:accent2>
      <a:srgbClr val="99CC00"/>
    </a:accent2>
    <a:accent3>
      <a:srgbClr val="00CC00"/>
    </a:accent3>
    <a:accent4>
      <a:srgbClr val="D60093"/>
    </a:accent4>
    <a:accent5>
      <a:srgbClr val="0066CC"/>
    </a:accent5>
    <a:accent6>
      <a:srgbClr val="FF9900"/>
    </a:accent6>
    <a:hlink>
      <a:srgbClr val="0070C0"/>
    </a:hlink>
    <a:folHlink>
      <a:srgbClr val="800080"/>
    </a:folHlink>
  </a:clrScheme>
  <a:fontScheme name="SDDC Corporate">
    <a:majorFont>
      <a:latin typeface="Trebuchet MS"/>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607A49DE8D6F4398137DD273C492E7" ma:contentTypeVersion="8" ma:contentTypeDescription="Create a new document." ma:contentTypeScope="" ma:versionID="80354035528aa0168bb8930566548608">
  <xsd:schema xmlns:xsd="http://www.w3.org/2001/XMLSchema" xmlns:xs="http://www.w3.org/2001/XMLSchema" xmlns:p="http://schemas.microsoft.com/office/2006/metadata/properties" xmlns:ns2="0b2c9b9d-d4ce-4e07-8505-3689a1f6f8ce" xmlns:ns3="92845a24-6bbc-4858-b121-e1c23c8de249" targetNamespace="http://schemas.microsoft.com/office/2006/metadata/properties" ma:root="true" ma:fieldsID="5896b9daa685ca30f41a2d41d9b6ecc9" ns2:_="" ns3:_="">
    <xsd:import namespace="0b2c9b9d-d4ce-4e07-8505-3689a1f6f8ce"/>
    <xsd:import namespace="92845a24-6bbc-4858-b121-e1c23c8de2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c9b9d-d4ce-4e07-8505-3689a1f6f8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45a24-6bbc-4858-b121-e1c23c8de24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547FB7-DEC6-431F-8ADC-7207102D6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2c9b9d-d4ce-4e07-8505-3689a1f6f8ce"/>
    <ds:schemaRef ds:uri="92845a24-6bbc-4858-b121-e1c23c8de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0FF559-FD7A-45A5-AEA2-945E968AFFD6}">
  <ds:schemaRefs>
    <ds:schemaRef ds:uri="http://schemas.openxmlformats.org/officeDocument/2006/bibliography"/>
  </ds:schemaRefs>
</ds:datastoreItem>
</file>

<file path=customXml/itemProps3.xml><?xml version="1.0" encoding="utf-8"?>
<ds:datastoreItem xmlns:ds="http://schemas.openxmlformats.org/officeDocument/2006/customXml" ds:itemID="{5BBC4E29-52DB-449F-ABD5-62ED4EE842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0B5B77-E311-419A-AE57-30BBC070C2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3314</Words>
  <Characters>18896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South Derbyshire District Council</Company>
  <LinksUpToDate>false</LinksUpToDate>
  <CharactersWithSpaces>22166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Rawlins</dc:creator>
  <cp:keywords/>
  <dc:description/>
  <cp:lastModifiedBy>John Kinderman</cp:lastModifiedBy>
  <cp:revision>5</cp:revision>
  <dcterms:created xsi:type="dcterms:W3CDTF">2022-08-19T13:39:00Z</dcterms:created>
  <dcterms:modified xsi:type="dcterms:W3CDTF">2022-08-19T15:00:00Z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0x0101006E607A49DE8D6F4398137DD273C492E7</vt:lpwstr>
  </property>
</Properties>
</file>